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after="200" w:before="200" w:line="48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Learning Military Power: Military Education and Battlefield Effectiveness</w:t>
      </w:r>
    </w:p>
    <w:p w:rsidR="00000000" w:rsidDel="00000000" w:rsidP="00000000" w:rsidRDefault="00000000" w:rsidRPr="00000000" w14:paraId="00000001">
      <w:pPr>
        <w:spacing w:line="48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Nathan W. Toronto</w:t>
      </w:r>
    </w:p>
    <w:p w:rsidR="00000000" w:rsidDel="00000000" w:rsidP="00000000" w:rsidRDefault="00000000" w:rsidRPr="00000000" w14:paraId="00000002">
      <w:pPr>
        <w:spacing w:line="48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UAE National Defense College</w:t>
      </w:r>
    </w:p>
    <w:p w:rsidR="00000000" w:rsidDel="00000000" w:rsidP="00000000" w:rsidRDefault="00000000" w:rsidRPr="00000000" w14:paraId="00000003">
      <w:pPr>
        <w:spacing w:line="48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nathan.toronto@ndc.ac.ae</w:t>
      </w:r>
    </w:p>
    <w:p w:rsidR="00000000" w:rsidDel="00000000" w:rsidP="00000000" w:rsidRDefault="00000000" w:rsidRPr="00000000" w14:paraId="00000004">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spacing w:after="480" w:before="200" w:lineRule="auto"/>
        <w:ind w:left="720" w:right="72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Abstract: What makes a military effective on the battlefield? To date, explanations have focused on tactical competence, regime type, coup-proofing, or the preponderance of men or materiel, but little attention has been given to the role of human capital development in helping militaries fight better—beyond human capital that is generally available in society as a result of schooling or regime type. This paper uses original data on military schools to establish a link between military education and battlefield effectiveness, measured at the tactical, operational, and strategic levels. Building off of recent scholarship on military effectiveness, these data show that having a staff college or a war college correlates with strategic victory in war, with tactical victory in individual engagements, and with the tactical and operational competence that has been associated with military effectiveness in previous studies.</w:t>
      </w:r>
    </w:p>
    <w:p w:rsidR="00000000" w:rsidDel="00000000" w:rsidP="00000000" w:rsidRDefault="00000000" w:rsidRPr="00000000" w14:paraId="00000006">
      <w:pPr>
        <w:spacing w:after="480" w:before="200" w:lineRule="auto"/>
        <w:ind w:left="720" w:right="72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Keywords: military effectiveness, military education, regression</w:t>
      </w:r>
    </w:p>
    <w:p w:rsidR="00000000" w:rsidDel="00000000" w:rsidP="00000000" w:rsidRDefault="00000000" w:rsidRPr="00000000" w14:paraId="00000007">
      <w:pPr>
        <w:spacing w:after="480" w:before="200" w:lineRule="auto"/>
        <w:ind w:left="720" w:right="720" w:firstLine="0"/>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views expressed herein are those of the author and do not necessarily represent the views of the UAE National Defense College, the UAE General Headquarters of the Armed Forces, or the UAE Government.</w:t>
      </w:r>
    </w:p>
    <w:p w:rsidR="00000000" w:rsidDel="00000000" w:rsidP="00000000" w:rsidRDefault="00000000" w:rsidRPr="00000000" w14:paraId="00000009">
      <w:pPr>
        <w:spacing w:line="480" w:lineRule="auto"/>
        <w:contextualSpacing w:val="0"/>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A">
      <w:pPr>
        <w:spacing w:after="200" w:before="200" w:line="48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Learning Military Power: Military Education and Battlefield Effectiveness</w:t>
      </w:r>
      <w:r w:rsidDel="00000000" w:rsidR="00000000" w:rsidRPr="00000000">
        <w:rPr>
          <w:rtl w:val="0"/>
        </w:rPr>
      </w:r>
    </w:p>
    <w:p w:rsidR="00000000" w:rsidDel="00000000" w:rsidP="00000000" w:rsidRDefault="00000000" w:rsidRPr="00000000" w14:paraId="0000000B">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Why are some militaries more effective than others? Past explanations have focused on tactical competence, regime type, coup-proofing, or the preponderance of men or materiel (Millett et al. 1986; Reiter and Stam 1998; Desch 1999, 2002, 2010; Biddle and Long 2004; Biddle 2006; Gartzke 2007; Ramsay 2008; Beckley 2010; Grauer and Horowitz 2012; Renshon and Spirling 2015; Talmadge 2015; Grauer 2016). More rare are explanations that examine the intellectual architecture underlying military success (Schifferle 2010; Matheny 2011). Of late, scholars of military effectiveness have begun to unpack “softer” elements of military power such as culture, regime type, and operational competence (Pollack 2002; Brooks 2003; Biddle and Long 2004; Biddle 2006; Grauer 2016), but none has examined how militaries actually learn to fight wars. In relations between states, this intellectual foundation could have at least as great an impact on enduring strategic success as “hard” factors such as material preponderance and avoiding coup-proofing or “soft” factors such as culture, regime type, or operational competence.</w:t>
      </w:r>
    </w:p>
    <w:p w:rsidR="00000000" w:rsidDel="00000000" w:rsidP="00000000" w:rsidRDefault="00000000" w:rsidRPr="00000000" w14:paraId="0000000C">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Military education also improves military performance. Using original data on a sample of over one hundred countries over 200 years, this study addresses the glaring lack of research on military education and battlefield effectiveness. Schifferle (2010) and Matheny (2011) have examined the role of the US Army Command and General Staff College and the US Army War College, respectively, in contributing to victory in World War II, but to date there is no large-</w:t>
      </w:r>
      <w:r w:rsidDel="00000000" w:rsidR="00000000" w:rsidRPr="00000000">
        <w:rPr>
          <w:rFonts w:ascii="Times New Roman" w:cs="Times New Roman" w:eastAsia="Times New Roman" w:hAnsi="Times New Roman"/>
          <w:i w:val="1"/>
          <w:sz w:val="24"/>
          <w:szCs w:val="24"/>
          <w:rtl w:val="0"/>
        </w:rPr>
        <w:t xml:space="preserve">n</w:t>
      </w:r>
      <w:r w:rsidDel="00000000" w:rsidR="00000000" w:rsidRPr="00000000">
        <w:rPr>
          <w:rFonts w:ascii="Times New Roman" w:cs="Times New Roman" w:eastAsia="Times New Roman" w:hAnsi="Times New Roman"/>
          <w:sz w:val="24"/>
          <w:szCs w:val="24"/>
          <w:rtl w:val="0"/>
        </w:rPr>
        <w:t xml:space="preserve"> analysis examining military education and battlefield effectiveness.</w:t>
      </w:r>
    </w:p>
    <w:p w:rsidR="00000000" w:rsidDel="00000000" w:rsidP="00000000" w:rsidRDefault="00000000" w:rsidRPr="00000000" w14:paraId="0000000D">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Whether this is due to a lack of data or to theoretical oversight, modern military organizations nonetheless spend an inordinate amount of time and resources educating officers in tactics, warfighting, and national strategy. In a typical military officer’s career of twenty years, three to four years will be spent in the “schoolhouse”, not including the time an officer spends at a precommissioning academy or training for specific missions.</w:t>
      </w:r>
    </w:p>
    <w:p w:rsidR="00000000" w:rsidDel="00000000" w:rsidP="00000000" w:rsidRDefault="00000000" w:rsidRPr="00000000" w14:paraId="0000000E">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suggests that many military organizations see value in education. Military education generally focuses on the theoretical and abstract aspects of fighting wars, as opposed to training, which focuses on the methods and procedures for accomplishing specific military tasks. In many militaries around the world, officers are educated throughout their careers, usually at four levels: pre-commissioning (academy), junior (in the first five years of service), intermediate (staff college), and senior (war college). These schools often teach a mix of analytical (how to think) and prescriptive (what to think) skills, but as an officer progresses in his career, the focus typically becomes more analytical (Keegan 1983; Watson 2007), a pattern that exists in the developing world, as well, where the time commitment to officer education is typically greater than in the West, because officers often attend schools in their own countries, then attend the schools of great power benefactors.</w:t>
      </w:r>
    </w:p>
    <w:p w:rsidR="00000000" w:rsidDel="00000000" w:rsidP="00000000" w:rsidRDefault="00000000" w:rsidRPr="00000000" w14:paraId="0000000F">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results-oriented military officers spend so much time in school, it bears asking why they do, if not to achieve battlefield success. A number of detractors have dismissed military education programs as having little military utility (Peters 2007; Anonymous 2012; Kelley and Johnson-Freese 2013; Metz 2013; Ricks 2013; McGivern 2014), and historically military operations research has focused on the material aspects of power, such as the technical specifications of weaponry and numbers of men and systems, at the cost of understanding the human elements of warfare (Brooks 2003). If the analytical skills gained in military education programs really matter on the field of battle, then it should give greater clarity to these ongoing policy debates.</w:t>
      </w:r>
    </w:p>
    <w:p w:rsidR="00000000" w:rsidDel="00000000" w:rsidP="00000000" w:rsidRDefault="00000000" w:rsidRPr="00000000" w14:paraId="00000010">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detractors may have a point. Military education is not essential for motivating a squad of soldiers to clear a house full of booby traps and bad guys, and Dwight Eisenhower probably did not succeed as commander of Allied forces in WWII because he came in first in his class at the US Army Command and General Staff College, but rather because of natural political instincts that would have led to success anyway. Still, senior military leaders have emphasized the importance of military education (Watson 2007; Dempsey 2012), and militaries around the world spend tens of millions of dollars annually for officers to learn about the theoretical aspects of their profession. Given this, scholars of military effectiveness should figure out whether military education has an effect on the battlefield or not.</w:t>
      </w:r>
    </w:p>
    <w:p w:rsidR="00000000" w:rsidDel="00000000" w:rsidP="00000000" w:rsidRDefault="00000000" w:rsidRPr="00000000" w14:paraId="00000011">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w:t>
      </w:r>
      <w:r w:rsidDel="00000000" w:rsidR="00000000" w:rsidRPr="00000000">
        <w:rPr>
          <w:rFonts w:ascii="Times New Roman" w:cs="Times New Roman" w:eastAsia="Times New Roman" w:hAnsi="Times New Roman"/>
          <w:sz w:val="24"/>
          <w:szCs w:val="24"/>
          <w:rtl w:val="0"/>
        </w:rPr>
        <w:t xml:space="preserve">here are good reasons to believe that military education provides a foundation for battlefield success. Military education can be a “force multiplier,” meaning that it magnifies the positives in what the military does already (Lamb and Porro 2014), and military officers who trust in the link between military education and battlefield success often point to how education changes patterns of thinking and allows them to analyze with precision and identify creative solutions to unexpected challenges.</w:t>
      </w:r>
    </w:p>
    <w:p w:rsidR="00000000" w:rsidDel="00000000" w:rsidP="00000000" w:rsidRDefault="00000000" w:rsidRPr="00000000" w14:paraId="00000012">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military education is not an insurance policy against failure, it creates the intellectual architecture to make military operations more effective on a continual basis. In </w:t>
      </w:r>
      <w:r w:rsidDel="00000000" w:rsidR="00000000" w:rsidRPr="00000000">
        <w:rPr>
          <w:rFonts w:ascii="Times New Roman" w:cs="Times New Roman" w:eastAsia="Times New Roman" w:hAnsi="Times New Roman"/>
          <w:i w:val="1"/>
          <w:sz w:val="24"/>
          <w:szCs w:val="24"/>
          <w:rtl w:val="0"/>
        </w:rPr>
        <w:t xml:space="preserve">Military Power</w:t>
      </w:r>
      <w:r w:rsidDel="00000000" w:rsidR="00000000" w:rsidRPr="00000000">
        <w:rPr>
          <w:rFonts w:ascii="Times New Roman" w:cs="Times New Roman" w:eastAsia="Times New Roman" w:hAnsi="Times New Roman"/>
          <w:sz w:val="24"/>
          <w:szCs w:val="24"/>
          <w:rtl w:val="0"/>
        </w:rPr>
        <w:t xml:space="preserve">, Biddle (2006) specifies the tactical system that makes militaries effective in modern land warfare, but he does not specify the conditions and causes of for adopting this system, nor do others that have written since (Grauer and Horowitz 2012; Talmadge 2015; Grauer 2016). I contend that actively cultivating military excellence is the key to</w:t>
      </w:r>
      <w:r w:rsidDel="00000000" w:rsidR="00000000" w:rsidRPr="00000000">
        <w:rPr>
          <w:rFonts w:ascii="Times New Roman" w:cs="Times New Roman" w:eastAsia="Times New Roman" w:hAnsi="Times New Roman"/>
          <w:sz w:val="24"/>
          <w:szCs w:val="24"/>
          <w:rtl w:val="0"/>
        </w:rPr>
        <w:t xml:space="preserve"> success in modern warfare. Education teaches critical thinking and exposes practitioners to theory, which contributes to excellence throughout </w:t>
      </w:r>
      <w:r w:rsidDel="00000000" w:rsidR="00000000" w:rsidRPr="00000000">
        <w:rPr>
          <w:rFonts w:ascii="Times New Roman" w:cs="Times New Roman" w:eastAsia="Times New Roman" w:hAnsi="Times New Roman"/>
          <w:sz w:val="24"/>
          <w:szCs w:val="24"/>
          <w:rtl w:val="0"/>
        </w:rPr>
        <w:t xml:space="preserve">a military</w:t>
      </w:r>
      <w:r w:rsidDel="00000000" w:rsidR="00000000" w:rsidRPr="00000000">
        <w:rPr>
          <w:rFonts w:ascii="Times New Roman" w:cs="Times New Roman" w:eastAsia="Times New Roman" w:hAnsi="Times New Roman"/>
          <w:sz w:val="24"/>
          <w:szCs w:val="24"/>
          <w:rtl w:val="0"/>
        </w:rPr>
        <w:t xml:space="preserve"> organization (Nagl 2005; Watson 2007; Anonymous 2014; Losey 2015). Achieving this level of excellence is difficult to do (Pollack 2006; Talmadge 2015), but it does suggest that it is worth verifying whether military education contributes to battlefield effectiveness.</w:t>
      </w:r>
    </w:p>
    <w:p w:rsidR="00000000" w:rsidDel="00000000" w:rsidP="00000000" w:rsidRDefault="00000000" w:rsidRPr="00000000" w14:paraId="00000013">
      <w:pPr>
        <w:spacing w:after="200" w:before="200" w:line="480" w:lineRule="auto"/>
        <w:ind w:left="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Data</w:t>
      </w:r>
    </w:p>
    <w:p w:rsidR="00000000" w:rsidDel="00000000" w:rsidP="00000000" w:rsidRDefault="00000000" w:rsidRPr="00000000" w14:paraId="00000014">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paper builds off of previous studies to substantiate the link between military education and battlefield effectiveness</w:t>
      </w:r>
      <w:r w:rsidDel="00000000" w:rsidR="00000000" w:rsidRPr="00000000">
        <w:rPr>
          <w:rFonts w:ascii="Times New Roman" w:cs="Times New Roman" w:eastAsia="Times New Roman" w:hAnsi="Times New Roman"/>
          <w:sz w:val="24"/>
          <w:szCs w:val="24"/>
          <w:rtl w:val="0"/>
        </w:rPr>
        <w:t xml:space="preserve">. Many academic studies of military effectiveness have used the </w:t>
      </w:r>
      <w:r w:rsidDel="00000000" w:rsidR="00000000" w:rsidRPr="00000000">
        <w:rPr>
          <w:rFonts w:ascii="Times New Roman" w:cs="Times New Roman" w:eastAsia="Times New Roman" w:hAnsi="Times New Roman"/>
          <w:color w:val="222222"/>
          <w:sz w:val="24"/>
          <w:szCs w:val="24"/>
          <w:highlight w:val="white"/>
          <w:rtl w:val="0"/>
        </w:rPr>
        <w:t xml:space="preserve">CBD90</w:t>
      </w:r>
      <w:r w:rsidDel="00000000" w:rsidR="00000000" w:rsidRPr="00000000">
        <w:rPr>
          <w:rFonts w:ascii="Times New Roman" w:cs="Times New Roman" w:eastAsia="Times New Roman" w:hAnsi="Times New Roman"/>
          <w:sz w:val="24"/>
          <w:szCs w:val="24"/>
          <w:rtl w:val="0"/>
        </w:rPr>
        <w:t xml:space="preserve"> dataset of 125 battles between 1913 and 2003 to assess the combat effectiveness of military forces, since the dataset codes a wealth of information, including numbers of troops and tanks on each side, air sorties conducted, and casualties suffered. The US Army originally collected this data, but Stephen Biddle and Steven Long (2004) updated and improved the data for an oft-cited 2004 study examining the links between democracy and military effectiveness. A number of other scholars have used these data (Ramsay 2008; Beckley 2010; </w:t>
      </w:r>
      <w:r w:rsidDel="00000000" w:rsidR="00000000" w:rsidRPr="00000000">
        <w:rPr>
          <w:rFonts w:ascii="Times New Roman" w:cs="Times New Roman" w:eastAsia="Times New Roman" w:hAnsi="Times New Roman"/>
          <w:color w:val="222222"/>
          <w:sz w:val="24"/>
          <w:szCs w:val="24"/>
          <w:highlight w:val="white"/>
          <w:rtl w:val="0"/>
        </w:rPr>
        <w:t xml:space="preserve">Pilster and Böhmelt 2011; Brown et al. 2016).</w:t>
      </w:r>
      <w:r w:rsidDel="00000000" w:rsidR="00000000" w:rsidRPr="00000000">
        <w:rPr>
          <w:rtl w:val="0"/>
        </w:rPr>
      </w:r>
    </w:p>
    <w:p w:rsidR="00000000" w:rsidDel="00000000" w:rsidP="00000000" w:rsidRDefault="00000000" w:rsidRPr="00000000" w14:paraId="00000015">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These CBD90 data are not perfect. They suffer from an overrepresentation of the United States, Germany, and Israel, and some of the US Army’s original coding decisions were not transparent. To correct these deficiencies, Ryan Grauer and Michael Horowitz (2012) collect data on the decisive engagements for all interstate wars in the twentieth century, operationalizing battlefield effectiveness using Biddle’s concept of force employment. They find that forces implementing the modern system of tactics are more likely to win the 83 decisive engagements for which they have complete data.</w:t>
      </w:r>
    </w:p>
    <w:p w:rsidR="00000000" w:rsidDel="00000000" w:rsidP="00000000" w:rsidRDefault="00000000" w:rsidRPr="00000000" w14:paraId="00000016">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study replicates Grauer and Horowitz (2012) and introduces original data on military education. In previous work on military education, Toronto (2015) used data on military academies, but the vast majority of states have military academies, so the presence of a military academy is not a good discriminator between different military education systems. What is more, a substantial proportion of an officer’s intellectual development occurs after graduating from a military academy, in staff and war colleges, and some countries, like the US, draw a majority of officers from non-academy sources.</w:t>
      </w:r>
    </w:p>
    <w:p w:rsidR="00000000" w:rsidDel="00000000" w:rsidP="00000000" w:rsidRDefault="00000000" w:rsidRPr="00000000" w14:paraId="00000017">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this study uses data on higher level military schools, collected by combing through ministry of defense and armed forces websites in order to identify a country’s military schools, what rank of officers they educate, when they were founded, and if they have ever been closed.</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As compared to the presence of a pre-commissioning academy, the presence of staff and war colleges are more compelling indicators of whether a country’s military education system aspires to excellence. In 1800 only a few countries had a staff college, whereas today the vast majority of countries have staff colleges, but few of these countries established staff colleges in the first few years of independence, so it takes an appreciable level of effort to establish and maintain a staff college. In the data set of country-years from 1816 to 2011, 34.9 percent of country-years are coded 1 for the </w:t>
      </w:r>
      <w:r w:rsidDel="00000000" w:rsidR="00000000" w:rsidRPr="00000000">
        <w:rPr>
          <w:rFonts w:ascii="Times New Roman" w:cs="Times New Roman" w:eastAsia="Times New Roman" w:hAnsi="Times New Roman"/>
          <w:i w:val="1"/>
          <w:sz w:val="24"/>
          <w:szCs w:val="24"/>
          <w:rtl w:val="0"/>
        </w:rPr>
        <w:t xml:space="preserve">Staff college</w:t>
      </w:r>
      <w:r w:rsidDel="00000000" w:rsidR="00000000" w:rsidRPr="00000000">
        <w:rPr>
          <w:rFonts w:ascii="Times New Roman" w:cs="Times New Roman" w:eastAsia="Times New Roman" w:hAnsi="Times New Roman"/>
          <w:sz w:val="24"/>
          <w:szCs w:val="24"/>
          <w:rtl w:val="0"/>
        </w:rPr>
        <w:t xml:space="preserve"> variable, meaning that a country had at least one staff college in that year (and 0 otherwise).</w:t>
      </w:r>
    </w:p>
    <w:p w:rsidR="00000000" w:rsidDel="00000000" w:rsidP="00000000" w:rsidRDefault="00000000" w:rsidRPr="00000000" w14:paraId="00000018">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distinction with war colleges is even more stark. A war college is a school meant to prepare a country’s current and future leaders, be they in the military or related civilian agencies, to organize the elements of national power to achieve strategic goals and preserve national interests. The world’s first war college, under this definition, was established in 1874, and only 63 countries today boast a war college.</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From 1816 to 2011, 14.9 percent of country-years are coded 1 for the </w:t>
      </w:r>
      <w:r w:rsidDel="00000000" w:rsidR="00000000" w:rsidRPr="00000000">
        <w:rPr>
          <w:rFonts w:ascii="Times New Roman" w:cs="Times New Roman" w:eastAsia="Times New Roman" w:hAnsi="Times New Roman"/>
          <w:i w:val="1"/>
          <w:sz w:val="24"/>
          <w:szCs w:val="24"/>
          <w:rtl w:val="0"/>
        </w:rPr>
        <w:t xml:space="preserve">War college</w:t>
      </w:r>
      <w:r w:rsidDel="00000000" w:rsidR="00000000" w:rsidRPr="00000000">
        <w:rPr>
          <w:rFonts w:ascii="Times New Roman" w:cs="Times New Roman" w:eastAsia="Times New Roman" w:hAnsi="Times New Roman"/>
          <w:sz w:val="24"/>
          <w:szCs w:val="24"/>
          <w:rtl w:val="0"/>
        </w:rPr>
        <w:t xml:space="preserve"> variable (0 otherwise).</w:t>
      </w:r>
    </w:p>
    <w:p w:rsidR="00000000" w:rsidDel="00000000" w:rsidP="00000000" w:rsidRDefault="00000000" w:rsidRPr="00000000" w14:paraId="00000019">
      <w:pPr>
        <w:spacing w:after="200" w:before="200" w:line="480" w:lineRule="auto"/>
        <w:ind w:left="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Analysis</w:t>
      </w:r>
    </w:p>
    <w:p w:rsidR="00000000" w:rsidDel="00000000" w:rsidP="00000000" w:rsidRDefault="00000000" w:rsidRPr="00000000" w14:paraId="0000001A">
      <w:pPr>
        <w:spacing w:line="480" w:lineRule="auto"/>
        <w:ind w:firstLine="72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I use these two dummy variables to assess the link between military education and battlefield effectiveness, building off Grauer and Horowitz’ study. Table 1 replicates their main results, then includes the </w:t>
      </w:r>
      <w:r w:rsidDel="00000000" w:rsidR="00000000" w:rsidRPr="00000000">
        <w:rPr>
          <w:rFonts w:ascii="Times New Roman" w:cs="Times New Roman" w:eastAsia="Times New Roman" w:hAnsi="Times New Roman"/>
          <w:i w:val="1"/>
          <w:sz w:val="24"/>
          <w:szCs w:val="24"/>
          <w:rtl w:val="0"/>
        </w:rPr>
        <w:t xml:space="preserve">War college </w:t>
      </w:r>
      <w:r w:rsidDel="00000000" w:rsidR="00000000" w:rsidRPr="00000000">
        <w:rPr>
          <w:rFonts w:ascii="Times New Roman" w:cs="Times New Roman" w:eastAsia="Times New Roman" w:hAnsi="Times New Roman"/>
          <w:sz w:val="24"/>
          <w:szCs w:val="24"/>
          <w:rtl w:val="0"/>
        </w:rPr>
        <w:t xml:space="preserve">and </w:t>
      </w:r>
      <w:r w:rsidDel="00000000" w:rsidR="00000000" w:rsidRPr="00000000">
        <w:rPr>
          <w:rFonts w:ascii="Times New Roman" w:cs="Times New Roman" w:eastAsia="Times New Roman" w:hAnsi="Times New Roman"/>
          <w:i w:val="1"/>
          <w:sz w:val="24"/>
          <w:szCs w:val="24"/>
          <w:rtl w:val="0"/>
        </w:rPr>
        <w:t xml:space="preserve">Staff college</w:t>
      </w:r>
      <w:r w:rsidDel="00000000" w:rsidR="00000000" w:rsidRPr="00000000">
        <w:rPr>
          <w:rFonts w:ascii="Times New Roman" w:cs="Times New Roman" w:eastAsia="Times New Roman" w:hAnsi="Times New Roman"/>
          <w:sz w:val="24"/>
          <w:szCs w:val="24"/>
          <w:rtl w:val="0"/>
        </w:rPr>
        <w:t xml:space="preserve"> variables. The dependent variable in these models equals 1 if the side won the decisive tactical engagement and 0 if it lost. The first set of models (based on their Model 3) examines military effectiveness from a monadic perspective. Including data on military schools in these models does not alter Grauer and Horowitz’ findings, suggesting that having a war college is correlated with tactical victory, but having a staff college is not.</w:t>
      </w:r>
      <w:r w:rsidDel="00000000" w:rsidR="00000000" w:rsidRPr="00000000">
        <w:rPr>
          <w:rtl w:val="0"/>
        </w:rPr>
      </w:r>
    </w:p>
    <w:p w:rsidR="00000000" w:rsidDel="00000000" w:rsidP="00000000" w:rsidRDefault="00000000" w:rsidRPr="00000000" w14:paraId="0000001B">
      <w:pPr>
        <w:spacing w:line="480" w:lineRule="auto"/>
        <w:contextualSpacing w:val="0"/>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C">
      <w:pPr>
        <w:spacing w:line="48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Table A‒1. Military Effectiveness (Probit), 1913‒2003</w:t>
      </w:r>
    </w:p>
    <w:tbl>
      <w:tblPr>
        <w:tblStyle w:val="Table1"/>
        <w:tblW w:w="930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700"/>
        <w:gridCol w:w="1100"/>
        <w:gridCol w:w="1100"/>
        <w:gridCol w:w="1100"/>
        <w:gridCol w:w="1100"/>
        <w:gridCol w:w="1100"/>
        <w:gridCol w:w="1100"/>
        <w:tblGridChange w:id="0">
          <w:tblGrid>
            <w:gridCol w:w="2700"/>
            <w:gridCol w:w="1100"/>
            <w:gridCol w:w="1100"/>
            <w:gridCol w:w="1100"/>
            <w:gridCol w:w="1100"/>
            <w:gridCol w:w="1100"/>
            <w:gridCol w:w="1100"/>
          </w:tblGrid>
        </w:tblGridChange>
      </w:tblGrid>
      <w:tr>
        <w:trPr>
          <w:trHeight w:val="240" w:hRule="atLeast"/>
        </w:trPr>
        <w:tc>
          <w:tcPr>
            <w:tcBorders>
              <w:top w:color="000000" w:space="0" w:sz="0" w:val="nil"/>
              <w:left w:color="000000" w:space="0" w:sz="0" w:val="nil"/>
              <w:bottom w:color="ffffff" w:space="0" w:sz="4" w:val="single"/>
              <w:right w:color="000000" w:space="0" w:sz="0" w:val="nil"/>
            </w:tcBorders>
          </w:tcPr>
          <w:p w:rsidR="00000000" w:rsidDel="00000000" w:rsidP="00000000" w:rsidRDefault="00000000" w:rsidRPr="00000000" w14:paraId="0000001D">
            <w:pPr>
              <w:spacing w:line="240" w:lineRule="auto"/>
              <w:contextualSpacing w:val="0"/>
              <w:rPr>
                <w:rFonts w:ascii="Times New Roman" w:cs="Times New Roman" w:eastAsia="Times New Roman" w:hAnsi="Times New Roman"/>
                <w:sz w:val="24"/>
                <w:szCs w:val="24"/>
              </w:rPr>
            </w:pPr>
            <w:r w:rsidDel="00000000" w:rsidR="00000000" w:rsidRPr="00000000">
              <w:rPr>
                <w:rtl w:val="0"/>
              </w:rPr>
            </w:r>
          </w:p>
        </w:tc>
        <w:tc>
          <w:tcPr>
            <w:gridSpan w:val="3"/>
            <w:tcBorders>
              <w:top w:color="000000" w:space="0" w:sz="0" w:val="nil"/>
              <w:left w:color="000000" w:space="0" w:sz="0" w:val="nil"/>
              <w:bottom w:color="ffffff" w:space="0" w:sz="4" w:val="single"/>
              <w:right w:color="000000" w:space="0" w:sz="0" w:val="nil"/>
            </w:tcBorders>
          </w:tcPr>
          <w:p w:rsidR="00000000" w:rsidDel="00000000" w:rsidP="00000000" w:rsidRDefault="00000000" w:rsidRPr="00000000" w14:paraId="0000001E">
            <w:pPr>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Grauer/Horowitz Model 3</w:t>
            </w:r>
          </w:p>
        </w:tc>
        <w:tc>
          <w:tcPr>
            <w:gridSpan w:val="3"/>
            <w:tcBorders>
              <w:top w:color="000000" w:space="0" w:sz="0" w:val="nil"/>
              <w:left w:color="000000" w:space="0" w:sz="0" w:val="nil"/>
              <w:bottom w:color="ffffff" w:space="0" w:sz="4" w:val="single"/>
              <w:right w:color="000000" w:space="0" w:sz="0" w:val="nil"/>
            </w:tcBorders>
          </w:tcPr>
          <w:p w:rsidR="00000000" w:rsidDel="00000000" w:rsidP="00000000" w:rsidRDefault="00000000" w:rsidRPr="00000000" w14:paraId="00000021">
            <w:pPr>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Grauer/Horowitz Model 5</w:t>
            </w:r>
          </w:p>
        </w:tc>
      </w:tr>
      <w:tr>
        <w:tc>
          <w:tcPr>
            <w:tcBorders>
              <w:top w:color="ffffff" w:space="0" w:sz="4" w:val="single"/>
              <w:left w:color="000000" w:space="0" w:sz="0" w:val="nil"/>
              <w:bottom w:color="000000" w:space="0" w:sz="4" w:val="single"/>
              <w:right w:color="000000" w:space="0" w:sz="0" w:val="nil"/>
            </w:tcBorders>
          </w:tcPr>
          <w:p w:rsidR="00000000" w:rsidDel="00000000" w:rsidP="00000000" w:rsidRDefault="00000000" w:rsidRPr="00000000" w14:paraId="00000024">
            <w:pPr>
              <w:spacing w:line="240" w:lineRule="auto"/>
              <w:contextualSpacing w:val="0"/>
              <w:rPr>
                <w:rFonts w:ascii="Times New Roman" w:cs="Times New Roman" w:eastAsia="Times New Roman" w:hAnsi="Times New Roman"/>
                <w:sz w:val="24"/>
                <w:szCs w:val="24"/>
              </w:rPr>
            </w:pPr>
            <w:r w:rsidDel="00000000" w:rsidR="00000000" w:rsidRPr="00000000">
              <w:rPr>
                <w:rtl w:val="0"/>
              </w:rPr>
            </w:r>
          </w:p>
        </w:tc>
        <w:tc>
          <w:tcPr>
            <w:tcBorders>
              <w:top w:color="ffffff" w:space="0" w:sz="4" w:val="single"/>
              <w:left w:color="000000" w:space="0" w:sz="0" w:val="nil"/>
              <w:bottom w:color="000000" w:space="0" w:sz="4" w:val="single"/>
              <w:right w:color="000000" w:space="0" w:sz="0" w:val="nil"/>
            </w:tcBorders>
            <w:vAlign w:val="bottom"/>
          </w:tcPr>
          <w:p w:rsidR="00000000" w:rsidDel="00000000" w:rsidP="00000000" w:rsidRDefault="00000000" w:rsidRPr="00000000" w14:paraId="0000002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Original</w:t>
            </w:r>
          </w:p>
        </w:tc>
        <w:tc>
          <w:tcPr>
            <w:tcBorders>
              <w:top w:color="ffffff" w:space="0" w:sz="4" w:val="single"/>
              <w:left w:color="000000" w:space="0" w:sz="0" w:val="nil"/>
              <w:bottom w:color="000000" w:space="0" w:sz="4" w:val="single"/>
              <w:right w:color="000000" w:space="0" w:sz="0" w:val="nil"/>
            </w:tcBorders>
            <w:vAlign w:val="bottom"/>
          </w:tcPr>
          <w:p w:rsidR="00000000" w:rsidDel="00000000" w:rsidP="00000000" w:rsidRDefault="00000000" w:rsidRPr="00000000" w14:paraId="0000002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Staff college</w:t>
            </w:r>
          </w:p>
        </w:tc>
        <w:tc>
          <w:tcPr>
            <w:tcBorders>
              <w:top w:color="ffffff" w:space="0" w:sz="4" w:val="single"/>
              <w:left w:color="000000" w:space="0" w:sz="0" w:val="nil"/>
              <w:bottom w:color="000000" w:space="0" w:sz="4" w:val="single"/>
              <w:right w:color="000000" w:space="0" w:sz="0" w:val="nil"/>
            </w:tcBorders>
            <w:vAlign w:val="bottom"/>
          </w:tcPr>
          <w:p w:rsidR="00000000" w:rsidDel="00000000" w:rsidP="00000000" w:rsidRDefault="00000000" w:rsidRPr="00000000" w14:paraId="0000002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War college</w:t>
            </w:r>
          </w:p>
        </w:tc>
        <w:tc>
          <w:tcPr>
            <w:tcBorders>
              <w:top w:color="ffffff" w:space="0" w:sz="4" w:val="single"/>
              <w:left w:color="000000" w:space="0" w:sz="0" w:val="nil"/>
              <w:bottom w:color="000000" w:space="0" w:sz="4" w:val="single"/>
              <w:right w:color="000000" w:space="0" w:sz="0" w:val="nil"/>
            </w:tcBorders>
            <w:vAlign w:val="bottom"/>
          </w:tcPr>
          <w:p w:rsidR="00000000" w:rsidDel="00000000" w:rsidP="00000000" w:rsidRDefault="00000000" w:rsidRPr="00000000" w14:paraId="0000002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Original</w:t>
            </w:r>
          </w:p>
        </w:tc>
        <w:tc>
          <w:tcPr>
            <w:tcBorders>
              <w:top w:color="ffffff" w:space="0" w:sz="4" w:val="single"/>
              <w:left w:color="000000" w:space="0" w:sz="0" w:val="nil"/>
              <w:bottom w:color="000000" w:space="0" w:sz="4" w:val="single"/>
              <w:right w:color="000000" w:space="0" w:sz="0" w:val="nil"/>
            </w:tcBorders>
            <w:vAlign w:val="bottom"/>
          </w:tcPr>
          <w:p w:rsidR="00000000" w:rsidDel="00000000" w:rsidP="00000000" w:rsidRDefault="00000000" w:rsidRPr="00000000" w14:paraId="0000002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Staff college</w:t>
            </w:r>
          </w:p>
        </w:tc>
        <w:tc>
          <w:tcPr>
            <w:tcBorders>
              <w:top w:color="ffffff" w:space="0" w:sz="4" w:val="single"/>
              <w:left w:color="000000" w:space="0" w:sz="0" w:val="nil"/>
              <w:bottom w:color="000000" w:space="0" w:sz="4" w:val="single"/>
              <w:right w:color="000000" w:space="0" w:sz="0" w:val="nil"/>
            </w:tcBorders>
            <w:vAlign w:val="bottom"/>
          </w:tcPr>
          <w:p w:rsidR="00000000" w:rsidDel="00000000" w:rsidP="00000000" w:rsidRDefault="00000000" w:rsidRPr="00000000" w14:paraId="0000002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War college</w:t>
            </w:r>
          </w:p>
        </w:tc>
      </w:tr>
      <w:tr>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2B">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Staff college</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2C">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2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.287</w:t>
            </w:r>
          </w:p>
          <w:p w:rsidR="00000000" w:rsidDel="00000000" w:rsidP="00000000" w:rsidRDefault="00000000" w:rsidRPr="00000000" w14:paraId="0000002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(.315)</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2F">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30">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3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1.993***</w:t>
            </w:r>
          </w:p>
          <w:p w:rsidR="00000000" w:rsidDel="00000000" w:rsidP="00000000" w:rsidRDefault="00000000" w:rsidRPr="00000000" w14:paraId="0000003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(.584)</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33">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4">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War college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5">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6">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.718*</w:t>
            </w:r>
          </w:p>
          <w:p w:rsidR="00000000" w:rsidDel="00000000" w:rsidP="00000000" w:rsidRDefault="00000000" w:rsidRPr="00000000" w14:paraId="0000003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(.402)</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9">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A">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4.378***</w:t>
            </w:r>
          </w:p>
          <w:p w:rsidR="00000000" w:rsidDel="00000000" w:rsidP="00000000" w:rsidRDefault="00000000" w:rsidRPr="00000000" w14:paraId="0000003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(.932)</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D">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Modern system adoption level</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.497***</w:t>
            </w:r>
          </w:p>
          <w:p w:rsidR="00000000" w:rsidDel="00000000" w:rsidP="00000000" w:rsidRDefault="00000000" w:rsidRPr="00000000" w14:paraId="0000003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.520***</w:t>
            </w:r>
          </w:p>
          <w:p w:rsidR="00000000" w:rsidDel="00000000" w:rsidP="00000000" w:rsidRDefault="00000000" w:rsidRPr="00000000" w14:paraId="0000004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(.164)</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.516***</w:t>
            </w:r>
          </w:p>
          <w:p w:rsidR="00000000" w:rsidDel="00000000" w:rsidP="00000000" w:rsidRDefault="00000000" w:rsidRPr="00000000" w14:paraId="0000004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(.152)</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4">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5">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6">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7">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Comparative modern system adoption level</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8">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9">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A">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1.442**</w:t>
            </w:r>
          </w:p>
          <w:p w:rsidR="00000000" w:rsidDel="00000000" w:rsidP="00000000" w:rsidRDefault="00000000" w:rsidRPr="00000000" w14:paraId="0000004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(.568)</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1.683***</w:t>
            </w:r>
          </w:p>
          <w:p w:rsidR="00000000" w:rsidDel="00000000" w:rsidP="00000000" w:rsidRDefault="00000000" w:rsidRPr="00000000" w14:paraId="0000004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(.469)</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4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2.919***</w:t>
            </w:r>
          </w:p>
          <w:p w:rsidR="00000000" w:rsidDel="00000000" w:rsidP="00000000" w:rsidRDefault="00000000" w:rsidRPr="00000000" w14:paraId="0000005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(.551)</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1">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Polity score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−.160</w:t>
            </w:r>
          </w:p>
          <w:p w:rsidR="00000000" w:rsidDel="00000000" w:rsidP="00000000" w:rsidRDefault="00000000" w:rsidRPr="00000000" w14:paraId="0000005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(.114)</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−.152</w:t>
            </w:r>
          </w:p>
          <w:p w:rsidR="00000000" w:rsidDel="00000000" w:rsidP="00000000" w:rsidRDefault="00000000" w:rsidRPr="00000000" w14:paraId="0000005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(.112)</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−.137</w:t>
            </w:r>
          </w:p>
          <w:p w:rsidR="00000000" w:rsidDel="00000000" w:rsidP="00000000" w:rsidRDefault="00000000" w:rsidRPr="00000000" w14:paraId="0000005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(.108)</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−.644***</w:t>
            </w:r>
          </w:p>
          <w:p w:rsidR="00000000" w:rsidDel="00000000" w:rsidP="00000000" w:rsidRDefault="00000000" w:rsidRPr="00000000" w14:paraId="0000005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(.246)</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−.880***</w:t>
            </w:r>
          </w:p>
          <w:p w:rsidR="00000000" w:rsidDel="00000000" w:rsidP="00000000" w:rsidRDefault="00000000" w:rsidRPr="00000000" w14:paraId="0000005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(.286)</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−.859***</w:t>
            </w:r>
          </w:p>
          <w:p w:rsidR="00000000" w:rsidDel="00000000" w:rsidP="00000000" w:rsidRDefault="00000000" w:rsidRPr="00000000" w14:paraId="0000005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(.219)</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E">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Polity squared</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5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.010*</w:t>
            </w:r>
          </w:p>
          <w:p w:rsidR="00000000" w:rsidDel="00000000" w:rsidP="00000000" w:rsidRDefault="00000000" w:rsidRPr="00000000" w14:paraId="0000006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.009*</w:t>
            </w:r>
          </w:p>
          <w:p w:rsidR="00000000" w:rsidDel="00000000" w:rsidP="00000000" w:rsidRDefault="00000000" w:rsidRPr="00000000" w14:paraId="0000006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.008*</w:t>
            </w:r>
          </w:p>
          <w:p w:rsidR="00000000" w:rsidDel="00000000" w:rsidP="00000000" w:rsidRDefault="00000000" w:rsidRPr="00000000" w14:paraId="0000006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.026**</w:t>
            </w:r>
          </w:p>
          <w:p w:rsidR="00000000" w:rsidDel="00000000" w:rsidP="00000000" w:rsidRDefault="00000000" w:rsidRPr="00000000" w14:paraId="0000006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.033**</w:t>
            </w:r>
          </w:p>
          <w:p w:rsidR="00000000" w:rsidDel="00000000" w:rsidP="00000000" w:rsidRDefault="00000000" w:rsidRPr="00000000" w14:paraId="0000006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(.013)</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.024**</w:t>
            </w:r>
          </w:p>
          <w:p w:rsidR="00000000" w:rsidDel="00000000" w:rsidP="00000000" w:rsidRDefault="00000000" w:rsidRPr="00000000" w14:paraId="0000006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B">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Polity side B score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C">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D">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E">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.347</w:t>
            </w:r>
          </w:p>
          <w:p w:rsidR="00000000" w:rsidDel="00000000" w:rsidP="00000000" w:rsidRDefault="00000000" w:rsidRPr="00000000" w14:paraId="0000007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(.236)</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.478*</w:t>
            </w:r>
          </w:p>
          <w:p w:rsidR="00000000" w:rsidDel="00000000" w:rsidP="00000000" w:rsidRDefault="00000000" w:rsidRPr="00000000" w14:paraId="0000007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(.257)</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.813***</w:t>
            </w:r>
          </w:p>
          <w:p w:rsidR="00000000" w:rsidDel="00000000" w:rsidP="00000000" w:rsidRDefault="00000000" w:rsidRPr="00000000" w14:paraId="0000007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(.260)</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5">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Polity side B squared</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6">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7">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8">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−.019*</w:t>
            </w:r>
          </w:p>
          <w:p w:rsidR="00000000" w:rsidDel="00000000" w:rsidP="00000000" w:rsidRDefault="00000000" w:rsidRPr="00000000" w14:paraId="0000007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(.010)</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−.027**</w:t>
            </w:r>
          </w:p>
          <w:p w:rsidR="00000000" w:rsidDel="00000000" w:rsidP="00000000" w:rsidRDefault="00000000" w:rsidRPr="00000000" w14:paraId="0000007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−.043***</w:t>
            </w:r>
          </w:p>
          <w:p w:rsidR="00000000" w:rsidDel="00000000" w:rsidP="00000000" w:rsidRDefault="00000000" w:rsidRPr="00000000" w14:paraId="0000007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(.011)</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7F">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Material capabilities</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6.477***</w:t>
            </w:r>
          </w:p>
          <w:p w:rsidR="00000000" w:rsidDel="00000000" w:rsidP="00000000" w:rsidRDefault="00000000" w:rsidRPr="00000000" w14:paraId="0000008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(2.417)</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6.392***</w:t>
            </w:r>
          </w:p>
          <w:p w:rsidR="00000000" w:rsidDel="00000000" w:rsidP="00000000" w:rsidRDefault="00000000" w:rsidRPr="00000000" w14:paraId="0000008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(2.276)</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5.467***</w:t>
            </w:r>
          </w:p>
          <w:p w:rsidR="00000000" w:rsidDel="00000000" w:rsidP="00000000" w:rsidRDefault="00000000" w:rsidRPr="00000000" w14:paraId="0000008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(2.012)</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6">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7">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8">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9">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Comparative military capabilities</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A">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B">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C">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2.333***</w:t>
            </w:r>
          </w:p>
          <w:p w:rsidR="00000000" w:rsidDel="00000000" w:rsidP="00000000" w:rsidRDefault="00000000" w:rsidRPr="00000000" w14:paraId="0000008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(.637)</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8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2.236**</w:t>
            </w:r>
          </w:p>
          <w:p w:rsidR="00000000" w:rsidDel="00000000" w:rsidP="00000000" w:rsidRDefault="00000000" w:rsidRPr="00000000" w14:paraId="0000009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(.941)</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1.806</w:t>
            </w:r>
          </w:p>
          <w:p w:rsidR="00000000" w:rsidDel="00000000" w:rsidP="00000000" w:rsidRDefault="00000000" w:rsidRPr="00000000" w14:paraId="0000009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(1.282)</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3">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Strategy (maneuver/ attrition/punishment)</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4">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5">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6">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.333</w:t>
            </w:r>
          </w:p>
          <w:p w:rsidR="00000000" w:rsidDel="00000000" w:rsidP="00000000" w:rsidRDefault="00000000" w:rsidRPr="00000000" w14:paraId="0000009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(.275)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.878***</w:t>
            </w:r>
          </w:p>
          <w:p w:rsidR="00000000" w:rsidDel="00000000" w:rsidP="00000000" w:rsidRDefault="00000000" w:rsidRPr="00000000" w14:paraId="0000009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(.312)</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1.043***</w:t>
            </w:r>
          </w:p>
          <w:p w:rsidR="00000000" w:rsidDel="00000000" w:rsidP="00000000" w:rsidRDefault="00000000" w:rsidRPr="00000000" w14:paraId="0000009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(.347)</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D">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Terrain</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9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.538</w:t>
            </w:r>
          </w:p>
          <w:p w:rsidR="00000000" w:rsidDel="00000000" w:rsidP="00000000" w:rsidRDefault="00000000" w:rsidRPr="00000000" w14:paraId="0000009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(.872)</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.558</w:t>
            </w:r>
          </w:p>
          <w:p w:rsidR="00000000" w:rsidDel="00000000" w:rsidP="00000000" w:rsidRDefault="00000000" w:rsidRPr="00000000" w14:paraId="000000A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.540</w:t>
            </w:r>
          </w:p>
          <w:p w:rsidR="00000000" w:rsidDel="00000000" w:rsidP="00000000" w:rsidRDefault="00000000" w:rsidRPr="00000000" w14:paraId="000000A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(.888)</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3.483*</w:t>
            </w:r>
          </w:p>
          <w:p w:rsidR="00000000" w:rsidDel="00000000" w:rsidP="00000000" w:rsidRDefault="00000000" w:rsidRPr="00000000" w14:paraId="000000A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(2.060)</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5.429***</w:t>
            </w:r>
          </w:p>
          <w:p w:rsidR="00000000" w:rsidDel="00000000" w:rsidP="00000000" w:rsidRDefault="00000000" w:rsidRPr="00000000" w14:paraId="000000A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(1.727)</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8.190***</w:t>
            </w:r>
          </w:p>
          <w:p w:rsidR="00000000" w:rsidDel="00000000" w:rsidP="00000000" w:rsidRDefault="00000000" w:rsidRPr="00000000" w14:paraId="000000A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(2.023)</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A">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Troops engaged</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B">
            <w:pPr>
              <w:spacing w:line="240" w:lineRule="auto"/>
              <w:contextualSpacing w:val="0"/>
              <w:jc w:val="center"/>
              <w:rPr>
                <w:rFonts w:ascii="Times New Roman" w:cs="Times New Roman" w:eastAsia="Times New Roman" w:hAnsi="Times New Roman"/>
                <w:sz w:val="20"/>
                <w:szCs w:val="20"/>
                <w:vertAlign w:val="superscript"/>
              </w:rPr>
            </w:pPr>
            <w:r w:rsidDel="00000000" w:rsidR="00000000" w:rsidRPr="00000000">
              <w:rPr>
                <w:rFonts w:ascii="Times New Roman" w:cs="Times New Roman" w:eastAsia="Times New Roman" w:hAnsi="Times New Roman"/>
                <w:sz w:val="20"/>
                <w:szCs w:val="20"/>
                <w:rtl w:val="0"/>
              </w:rPr>
              <w:t xml:space="preserve">1.35×e</w:t>
            </w:r>
            <w:r w:rsidDel="00000000" w:rsidR="00000000" w:rsidRPr="00000000">
              <w:rPr>
                <w:rFonts w:ascii="Gungsuh" w:cs="Gungsuh" w:eastAsia="Gungsuh" w:hAnsi="Gungsuh"/>
                <w:sz w:val="20"/>
                <w:szCs w:val="20"/>
                <w:vertAlign w:val="superscript"/>
                <w:rtl w:val="0"/>
              </w:rPr>
              <w:t xml:space="preserve">−6</w:t>
            </w:r>
          </w:p>
          <w:p w:rsidR="00000000" w:rsidDel="00000000" w:rsidP="00000000" w:rsidRDefault="00000000" w:rsidRPr="00000000" w14:paraId="000000A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(1.01×e</w:t>
            </w:r>
            <w:r w:rsidDel="00000000" w:rsidR="00000000" w:rsidRPr="00000000">
              <w:rPr>
                <w:rFonts w:ascii="Gungsuh" w:cs="Gungsuh" w:eastAsia="Gungsuh" w:hAnsi="Gungsuh"/>
                <w:sz w:val="20"/>
                <w:szCs w:val="20"/>
                <w:vertAlign w:val="superscript"/>
                <w:rtl w:val="0"/>
              </w:rPr>
              <w:t xml:space="preserve">−6</w:t>
            </w:r>
            <w:r w:rsidDel="00000000" w:rsidR="00000000" w:rsidRPr="00000000">
              <w:rPr>
                <w:rFonts w:ascii="Times New Roman" w:cs="Times New Roman" w:eastAsia="Times New Roman" w:hAnsi="Times New Roman"/>
                <w:sz w:val="20"/>
                <w:szCs w:val="20"/>
                <w:rtl w:val="0"/>
              </w:rPr>
              <w:t xml:space="preserv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1.31×e</w:t>
            </w:r>
            <w:r w:rsidDel="00000000" w:rsidR="00000000" w:rsidRPr="00000000">
              <w:rPr>
                <w:rFonts w:ascii="Gungsuh" w:cs="Gungsuh" w:eastAsia="Gungsuh" w:hAnsi="Gungsuh"/>
                <w:sz w:val="20"/>
                <w:szCs w:val="20"/>
                <w:vertAlign w:val="superscript"/>
                <w:rtl w:val="0"/>
              </w:rPr>
              <w:t xml:space="preserve">−6</w:t>
            </w:r>
            <w:r w:rsidDel="00000000" w:rsidR="00000000" w:rsidRPr="00000000">
              <w:rPr>
                <w:rtl w:val="0"/>
              </w:rPr>
            </w:r>
          </w:p>
          <w:p w:rsidR="00000000" w:rsidDel="00000000" w:rsidP="00000000" w:rsidRDefault="00000000" w:rsidRPr="00000000" w14:paraId="000000A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(9.75×e</w:t>
            </w:r>
            <w:r w:rsidDel="00000000" w:rsidR="00000000" w:rsidRPr="00000000">
              <w:rPr>
                <w:rFonts w:ascii="Gungsuh" w:cs="Gungsuh" w:eastAsia="Gungsuh" w:hAnsi="Gungsuh"/>
                <w:sz w:val="20"/>
                <w:szCs w:val="20"/>
                <w:vertAlign w:val="superscript"/>
                <w:rtl w:val="0"/>
              </w:rPr>
              <w:t xml:space="preserve">−7</w:t>
            </w:r>
            <w:r w:rsidDel="00000000" w:rsidR="00000000" w:rsidRPr="00000000">
              <w:rPr>
                <w:rFonts w:ascii="Times New Roman" w:cs="Times New Roman" w:eastAsia="Times New Roman" w:hAnsi="Times New Roman"/>
                <w:sz w:val="20"/>
                <w:szCs w:val="20"/>
                <w:rtl w:val="0"/>
              </w:rPr>
              <w:t xml:space="preserv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A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1.32×e</w:t>
            </w:r>
            <w:r w:rsidDel="00000000" w:rsidR="00000000" w:rsidRPr="00000000">
              <w:rPr>
                <w:rFonts w:ascii="Gungsuh" w:cs="Gungsuh" w:eastAsia="Gungsuh" w:hAnsi="Gungsuh"/>
                <w:sz w:val="20"/>
                <w:szCs w:val="20"/>
                <w:vertAlign w:val="superscript"/>
                <w:rtl w:val="0"/>
              </w:rPr>
              <w:t xml:space="preserve">−6</w:t>
            </w:r>
            <w:r w:rsidDel="00000000" w:rsidR="00000000" w:rsidRPr="00000000">
              <w:rPr>
                <w:rtl w:val="0"/>
              </w:rPr>
            </w:r>
          </w:p>
          <w:p w:rsidR="00000000" w:rsidDel="00000000" w:rsidP="00000000" w:rsidRDefault="00000000" w:rsidRPr="00000000" w14:paraId="000000B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(8.89×e</w:t>
            </w:r>
            <w:r w:rsidDel="00000000" w:rsidR="00000000" w:rsidRPr="00000000">
              <w:rPr>
                <w:rFonts w:ascii="Gungsuh" w:cs="Gungsuh" w:eastAsia="Gungsuh" w:hAnsi="Gungsuh"/>
                <w:sz w:val="20"/>
                <w:szCs w:val="20"/>
                <w:vertAlign w:val="superscript"/>
                <w:rtl w:val="0"/>
              </w:rPr>
              <w:t xml:space="preserve">−7</w:t>
            </w:r>
            <w:r w:rsidDel="00000000" w:rsidR="00000000" w:rsidRPr="00000000">
              <w:rPr>
                <w:rFonts w:ascii="Times New Roman" w:cs="Times New Roman" w:eastAsia="Times New Roman" w:hAnsi="Times New Roman"/>
                <w:sz w:val="20"/>
                <w:szCs w:val="20"/>
                <w:rtl w:val="0"/>
              </w:rPr>
              <w:t xml:space="preserv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1">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2">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3">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4">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Opponent troops engaged</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5">
            <w:pPr>
              <w:spacing w:line="240" w:lineRule="auto"/>
              <w:contextualSpacing w:val="0"/>
              <w:jc w:val="center"/>
              <w:rPr>
                <w:rFonts w:ascii="Times New Roman" w:cs="Times New Roman" w:eastAsia="Times New Roman" w:hAnsi="Times New Roman"/>
                <w:sz w:val="18"/>
                <w:szCs w:val="18"/>
              </w:rPr>
            </w:pPr>
            <w:r w:rsidDel="00000000" w:rsidR="00000000" w:rsidRPr="00000000">
              <w:rPr>
                <w:rFonts w:ascii="Gungsuh" w:cs="Gungsuh" w:eastAsia="Gungsuh" w:hAnsi="Gungsuh"/>
                <w:sz w:val="18"/>
                <w:szCs w:val="18"/>
                <w:rtl w:val="0"/>
              </w:rPr>
              <w:t xml:space="preserve">−2.16×e</w:t>
            </w:r>
            <w:r w:rsidDel="00000000" w:rsidR="00000000" w:rsidRPr="00000000">
              <w:rPr>
                <w:rFonts w:ascii="Gungsuh" w:cs="Gungsuh" w:eastAsia="Gungsuh" w:hAnsi="Gungsuh"/>
                <w:sz w:val="18"/>
                <w:szCs w:val="18"/>
                <w:vertAlign w:val="superscript"/>
                <w:rtl w:val="0"/>
              </w:rPr>
              <w:t xml:space="preserve">−6</w:t>
            </w:r>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B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(1.31×e</w:t>
            </w:r>
            <w:r w:rsidDel="00000000" w:rsidR="00000000" w:rsidRPr="00000000">
              <w:rPr>
                <w:rFonts w:ascii="Gungsuh" w:cs="Gungsuh" w:eastAsia="Gungsuh" w:hAnsi="Gungsuh"/>
                <w:sz w:val="20"/>
                <w:szCs w:val="20"/>
                <w:vertAlign w:val="superscript"/>
                <w:rtl w:val="0"/>
              </w:rPr>
              <w:t xml:space="preserve">−6</w:t>
            </w:r>
            <w:r w:rsidDel="00000000" w:rsidR="00000000" w:rsidRPr="00000000">
              <w:rPr>
                <w:rFonts w:ascii="Times New Roman" w:cs="Times New Roman" w:eastAsia="Times New Roman" w:hAnsi="Times New Roman"/>
                <w:sz w:val="20"/>
                <w:szCs w:val="20"/>
                <w:rtl w:val="0"/>
              </w:rPr>
              <w:t xml:space="preserv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−2.07×e</w:t>
            </w:r>
            <w:r w:rsidDel="00000000" w:rsidR="00000000" w:rsidRPr="00000000">
              <w:rPr>
                <w:rFonts w:ascii="Gungsuh" w:cs="Gungsuh" w:eastAsia="Gungsuh" w:hAnsi="Gungsuh"/>
                <w:sz w:val="20"/>
                <w:szCs w:val="20"/>
                <w:vertAlign w:val="superscript"/>
                <w:rtl w:val="0"/>
              </w:rPr>
              <w:t xml:space="preserve">−6</w:t>
            </w:r>
            <w:r w:rsidDel="00000000" w:rsidR="00000000" w:rsidRPr="00000000">
              <w:rPr>
                <w:rtl w:val="0"/>
              </w:rPr>
            </w:r>
          </w:p>
          <w:p w:rsidR="00000000" w:rsidDel="00000000" w:rsidP="00000000" w:rsidRDefault="00000000" w:rsidRPr="00000000" w14:paraId="000000B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(1.29×e</w:t>
            </w:r>
            <w:r w:rsidDel="00000000" w:rsidR="00000000" w:rsidRPr="00000000">
              <w:rPr>
                <w:rFonts w:ascii="Gungsuh" w:cs="Gungsuh" w:eastAsia="Gungsuh" w:hAnsi="Gungsuh"/>
                <w:sz w:val="20"/>
                <w:szCs w:val="20"/>
                <w:vertAlign w:val="superscript"/>
                <w:rtl w:val="0"/>
              </w:rPr>
              <w:t xml:space="preserve">−6</w:t>
            </w:r>
            <w:r w:rsidDel="00000000" w:rsidR="00000000" w:rsidRPr="00000000">
              <w:rPr>
                <w:rFonts w:ascii="Times New Roman" w:cs="Times New Roman" w:eastAsia="Times New Roman" w:hAnsi="Times New Roman"/>
                <w:sz w:val="20"/>
                <w:szCs w:val="20"/>
                <w:rtl w:val="0"/>
              </w:rPr>
              <w:t xml:space="preserv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9">
            <w:pPr>
              <w:spacing w:line="240" w:lineRule="auto"/>
              <w:contextualSpacing w:val="0"/>
              <w:jc w:val="center"/>
              <w:rPr>
                <w:rFonts w:ascii="Times New Roman" w:cs="Times New Roman" w:eastAsia="Times New Roman" w:hAnsi="Times New Roman"/>
                <w:sz w:val="18"/>
                <w:szCs w:val="18"/>
              </w:rPr>
            </w:pPr>
            <w:r w:rsidDel="00000000" w:rsidR="00000000" w:rsidRPr="00000000">
              <w:rPr>
                <w:rFonts w:ascii="Gungsuh" w:cs="Gungsuh" w:eastAsia="Gungsuh" w:hAnsi="Gungsuh"/>
                <w:sz w:val="18"/>
                <w:szCs w:val="18"/>
                <w:rtl w:val="0"/>
              </w:rPr>
              <w:t xml:space="preserve">−2.09×e</w:t>
            </w:r>
            <w:r w:rsidDel="00000000" w:rsidR="00000000" w:rsidRPr="00000000">
              <w:rPr>
                <w:rFonts w:ascii="Gungsuh" w:cs="Gungsuh" w:eastAsia="Gungsuh" w:hAnsi="Gungsuh"/>
                <w:sz w:val="18"/>
                <w:szCs w:val="18"/>
                <w:vertAlign w:val="superscript"/>
                <w:rtl w:val="0"/>
              </w:rPr>
              <w:t xml:space="preserve">−6</w:t>
            </w:r>
            <w:r w:rsidDel="00000000" w:rsidR="00000000" w:rsidRPr="00000000">
              <w:rPr>
                <w:rFonts w:ascii="Times New Roman" w:cs="Times New Roman" w:eastAsia="Times New Roman" w:hAnsi="Times New Roman"/>
                <w:sz w:val="18"/>
                <w:szCs w:val="18"/>
                <w:rtl w:val="0"/>
              </w:rPr>
              <w:t xml:space="preserve">*</w:t>
            </w:r>
          </w:p>
          <w:p w:rsidR="00000000" w:rsidDel="00000000" w:rsidP="00000000" w:rsidRDefault="00000000" w:rsidRPr="00000000" w14:paraId="000000B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(1.22×e</w:t>
            </w:r>
            <w:r w:rsidDel="00000000" w:rsidR="00000000" w:rsidRPr="00000000">
              <w:rPr>
                <w:rFonts w:ascii="Gungsuh" w:cs="Gungsuh" w:eastAsia="Gungsuh" w:hAnsi="Gungsuh"/>
                <w:sz w:val="20"/>
                <w:szCs w:val="20"/>
                <w:vertAlign w:val="superscript"/>
                <w:rtl w:val="0"/>
              </w:rPr>
              <w:t xml:space="preserve">−6</w:t>
            </w:r>
            <w:r w:rsidDel="00000000" w:rsidR="00000000" w:rsidRPr="00000000">
              <w:rPr>
                <w:rFonts w:ascii="Times New Roman" w:cs="Times New Roman" w:eastAsia="Times New Roman" w:hAnsi="Times New Roman"/>
                <w:sz w:val="20"/>
                <w:szCs w:val="20"/>
                <w:rtl w:val="0"/>
              </w:rPr>
              <w:t xml:space="preserve">)</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B">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C">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D">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E">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Comparative troops engaged</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BF">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0">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1">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.566</w:t>
            </w:r>
          </w:p>
          <w:p w:rsidR="00000000" w:rsidDel="00000000" w:rsidP="00000000" w:rsidRDefault="00000000" w:rsidRPr="00000000" w14:paraId="000000C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(1.678)</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−1.405</w:t>
            </w:r>
          </w:p>
          <w:p w:rsidR="00000000" w:rsidDel="00000000" w:rsidP="00000000" w:rsidRDefault="00000000" w:rsidRPr="00000000" w14:paraId="000000C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(1.355)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−3.025*</w:t>
            </w:r>
          </w:p>
          <w:p w:rsidR="00000000" w:rsidDel="00000000" w:rsidP="00000000" w:rsidRDefault="00000000" w:rsidRPr="00000000" w14:paraId="000000C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(1.675)</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8">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Comparative human capital</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9">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A">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B">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.002***</w:t>
            </w:r>
          </w:p>
          <w:p w:rsidR="00000000" w:rsidDel="00000000" w:rsidP="00000000" w:rsidRDefault="00000000" w:rsidRPr="00000000" w14:paraId="000000C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C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.003***</w:t>
            </w:r>
          </w:p>
          <w:p w:rsidR="00000000" w:rsidDel="00000000" w:rsidP="00000000" w:rsidRDefault="00000000" w:rsidRPr="00000000" w14:paraId="000000C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(.001)</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.005***</w:t>
            </w:r>
          </w:p>
          <w:p w:rsidR="00000000" w:rsidDel="00000000" w:rsidP="00000000" w:rsidRDefault="00000000" w:rsidRPr="00000000" w14:paraId="000000D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r>
      <w:t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2">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Comparative civil-military relations</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3">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4">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5">
            <w:pPr>
              <w:spacing w:line="240" w:lineRule="auto"/>
              <w:contextualSpacing w:val="0"/>
              <w:jc w:val="center"/>
              <w:rPr>
                <w:rFonts w:ascii="Times New Roman" w:cs="Times New Roman" w:eastAsia="Times New Roman" w:hAnsi="Times New Roman"/>
                <w:sz w:val="20"/>
                <w:szCs w:val="20"/>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−.205</w:t>
            </w:r>
          </w:p>
          <w:p w:rsidR="00000000" w:rsidDel="00000000" w:rsidP="00000000" w:rsidRDefault="00000000" w:rsidRPr="00000000" w14:paraId="000000D7">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(.310)</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−.307</w:t>
            </w:r>
          </w:p>
          <w:p w:rsidR="00000000" w:rsidDel="00000000" w:rsidP="00000000" w:rsidRDefault="00000000" w:rsidRPr="00000000" w14:paraId="000000D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(.543)</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D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−.907</w:t>
            </w:r>
          </w:p>
          <w:p w:rsidR="00000000" w:rsidDel="00000000" w:rsidP="00000000" w:rsidRDefault="00000000" w:rsidRPr="00000000" w14:paraId="000000D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(.657)</w:t>
            </w:r>
          </w:p>
        </w:tc>
      </w:tr>
      <w:tr>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DC">
            <w:pPr>
              <w:spacing w:line="240" w:lineRule="auto"/>
              <w:ind w:left="330"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Constant</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D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−1.353</w:t>
            </w:r>
          </w:p>
          <w:p w:rsidR="00000000" w:rsidDel="00000000" w:rsidP="00000000" w:rsidRDefault="00000000" w:rsidRPr="00000000" w14:paraId="000000D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(.988)</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D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1.562</w:t>
            </w:r>
          </w:p>
          <w:p w:rsidR="00000000" w:rsidDel="00000000" w:rsidP="00000000" w:rsidRDefault="00000000" w:rsidRPr="00000000" w14:paraId="000000E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(.996)</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E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−1.536*</w:t>
            </w:r>
          </w:p>
          <w:p w:rsidR="00000000" w:rsidDel="00000000" w:rsidP="00000000" w:rsidRDefault="00000000" w:rsidRPr="00000000" w14:paraId="000000E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(.918)</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E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−4.644***</w:t>
            </w:r>
          </w:p>
          <w:p w:rsidR="00000000" w:rsidDel="00000000" w:rsidP="00000000" w:rsidRDefault="00000000" w:rsidRPr="00000000" w14:paraId="000000E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(1.640)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E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Gungsuh" w:cs="Gungsuh" w:eastAsia="Gungsuh" w:hAnsi="Gungsuh"/>
                <w:sz w:val="20"/>
                <w:szCs w:val="20"/>
                <w:rtl w:val="0"/>
              </w:rPr>
              <w:t xml:space="preserve">−6.799***</w:t>
            </w:r>
          </w:p>
          <w:p w:rsidR="00000000" w:rsidDel="00000000" w:rsidP="00000000" w:rsidRDefault="00000000" w:rsidRPr="00000000" w14:paraId="000000E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(1.542)</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E7">
            <w:pPr>
              <w:spacing w:line="240" w:lineRule="auto"/>
              <w:contextualSpacing w:val="0"/>
              <w:jc w:val="center"/>
              <w:rPr>
                <w:rFonts w:ascii="Times New Roman" w:cs="Times New Roman" w:eastAsia="Times New Roman" w:hAnsi="Times New Roman"/>
                <w:sz w:val="18"/>
                <w:szCs w:val="18"/>
              </w:rPr>
            </w:pPr>
            <w:r w:rsidDel="00000000" w:rsidR="00000000" w:rsidRPr="00000000">
              <w:rPr>
                <w:rFonts w:ascii="Gungsuh" w:cs="Gungsuh" w:eastAsia="Gungsuh" w:hAnsi="Gungsuh"/>
                <w:sz w:val="18"/>
                <w:szCs w:val="18"/>
                <w:rtl w:val="0"/>
              </w:rPr>
              <w:t xml:space="preserve">−10.013***</w:t>
            </w:r>
          </w:p>
          <w:p w:rsidR="00000000" w:rsidDel="00000000" w:rsidP="00000000" w:rsidRDefault="00000000" w:rsidRPr="00000000" w14:paraId="000000E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(1.718)</w:t>
            </w:r>
          </w:p>
        </w:tc>
      </w:tr>
      <w:tr>
        <w:tc>
          <w:tcPr>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0E9">
            <w:pP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 (observations)</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E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E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E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104</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E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EE">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w:t>
            </w:r>
          </w:p>
        </w:tc>
        <w:tc>
          <w:tcPr>
            <w:tcBorders>
              <w:top w:color="000000" w:space="0" w:sz="4" w:val="single"/>
              <w:left w:color="000000" w:space="0" w:sz="0" w:val="nil"/>
              <w:bottom w:color="000000" w:space="0" w:sz="0" w:val="nil"/>
              <w:right w:color="000000" w:space="0" w:sz="0" w:val="nil"/>
            </w:tcBorders>
            <w:vAlign w:val="center"/>
          </w:tcPr>
          <w:p w:rsidR="00000000" w:rsidDel="00000000" w:rsidP="00000000" w:rsidRDefault="00000000" w:rsidRPr="00000000" w14:paraId="000000E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83</w:t>
            </w:r>
          </w:p>
        </w:tc>
      </w:tr>
      <w:t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F0">
            <w:pP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 (countries)</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5">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6">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36</w:t>
            </w:r>
          </w:p>
        </w:tc>
      </w:tr>
      <w:t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F7">
            <w:pP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Pseudo-R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8">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.398</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9">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.404</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A">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.424</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B">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.755</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C">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.799</w:t>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FD">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.840</w:t>
            </w:r>
          </w:p>
        </w:tc>
      </w:tr>
      <w:tr>
        <w:tc>
          <w:tcPr>
            <w:tcBorders>
              <w:top w:color="000000" w:space="0" w:sz="0" w:val="nil"/>
              <w:left w:color="000000" w:space="0" w:sz="0" w:val="nil"/>
              <w:bottom w:color="000000" w:space="0" w:sz="4" w:val="single"/>
              <w:right w:color="000000" w:space="0" w:sz="0" w:val="nil"/>
            </w:tcBorders>
          </w:tcPr>
          <w:p w:rsidR="00000000" w:rsidDel="00000000" w:rsidP="00000000" w:rsidRDefault="00000000" w:rsidRPr="00000000" w14:paraId="000000FE">
            <w:pPr>
              <w:spacing w:line="240" w:lineRule="auto"/>
              <w:contextualSpacing w:val="0"/>
              <w:rPr>
                <w:rFonts w:ascii="Times New Roman" w:cs="Times New Roman" w:eastAsia="Times New Roman" w:hAnsi="Times New Roman"/>
                <w:sz w:val="24"/>
                <w:szCs w:val="24"/>
                <w:vertAlign w:val="superscript"/>
              </w:rPr>
            </w:pPr>
            <w:r w:rsidDel="00000000" w:rsidR="00000000" w:rsidRPr="00000000">
              <w:rPr>
                <w:rFonts w:ascii="Times New Roman" w:cs="Times New Roman" w:eastAsia="Times New Roman" w:hAnsi="Times New Roman"/>
                <w:sz w:val="24"/>
                <w:szCs w:val="24"/>
                <w:rtl w:val="0"/>
              </w:rPr>
              <w:t xml:space="preserve">Probability&gt;χ</w:t>
            </w:r>
            <w:r w:rsidDel="00000000" w:rsidR="00000000" w:rsidRPr="00000000">
              <w:rPr>
                <w:rFonts w:ascii="Times New Roman" w:cs="Times New Roman" w:eastAsia="Times New Roman" w:hAnsi="Times New Roman"/>
                <w:sz w:val="24"/>
                <w:szCs w:val="24"/>
                <w:vertAlign w:val="superscript"/>
                <w:rtl w:val="0"/>
              </w:rPr>
              <w:t xml:space="preserve">2</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0FF">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100">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101">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102">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103">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c>
          <w:tcPr>
            <w:tcBorders>
              <w:top w:color="000000" w:space="0" w:sz="0" w:val="nil"/>
              <w:left w:color="000000" w:space="0" w:sz="0" w:val="nil"/>
              <w:bottom w:color="000000" w:space="0" w:sz="4" w:val="single"/>
              <w:right w:color="000000" w:space="0" w:sz="0" w:val="nil"/>
            </w:tcBorders>
            <w:vAlign w:val="center"/>
          </w:tcPr>
          <w:p w:rsidR="00000000" w:rsidDel="00000000" w:rsidP="00000000" w:rsidRDefault="00000000" w:rsidRPr="00000000" w14:paraId="00000104">
            <w:pPr>
              <w:spacing w:line="240" w:lineRule="auto"/>
              <w:contextualSpacing w:val="0"/>
              <w:jc w:val="center"/>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0"/>
                <w:szCs w:val="20"/>
                <w:rtl w:val="0"/>
              </w:rPr>
              <w:t xml:space="preserve">.000</w:t>
            </w:r>
          </w:p>
        </w:tc>
      </w:tr>
      <w:tr>
        <w:trPr>
          <w:trHeight w:val="240" w:hRule="atLeast"/>
        </w:trPr>
        <w:tc>
          <w:tcPr>
            <w:gridSpan w:val="7"/>
            <w:tcBorders>
              <w:top w:color="000000" w:space="0" w:sz="4" w:val="single"/>
              <w:left w:color="000000" w:space="0" w:sz="0" w:val="nil"/>
              <w:bottom w:color="000000" w:space="0" w:sz="0" w:val="nil"/>
              <w:right w:color="000000" w:space="0" w:sz="0" w:val="nil"/>
            </w:tcBorders>
          </w:tcPr>
          <w:p w:rsidR="00000000" w:rsidDel="00000000" w:rsidP="00000000" w:rsidRDefault="00000000" w:rsidRPr="00000000" w14:paraId="00000105">
            <w:pPr>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Robust errors clustered on country code; *=</w:t>
            </w:r>
            <w:r w:rsidDel="00000000" w:rsidR="00000000" w:rsidRPr="00000000">
              <w:rPr>
                <w:rFonts w:ascii="Times New Roman" w:cs="Times New Roman" w:eastAsia="Times New Roman" w:hAnsi="Times New Roman"/>
                <w:i w:val="1"/>
                <w:sz w:val="24"/>
                <w:szCs w:val="24"/>
                <w:rtl w:val="0"/>
              </w:rPr>
              <w:t xml:space="preserve">p</w:t>
            </w:r>
            <w:r w:rsidDel="00000000" w:rsidR="00000000" w:rsidRPr="00000000">
              <w:rPr>
                <w:rFonts w:ascii="Times New Roman" w:cs="Times New Roman" w:eastAsia="Times New Roman" w:hAnsi="Times New Roman"/>
                <w:sz w:val="24"/>
                <w:szCs w:val="24"/>
                <w:rtl w:val="0"/>
              </w:rPr>
              <w:t xml:space="preserve">&lt;.10, **=</w:t>
            </w:r>
            <w:r w:rsidDel="00000000" w:rsidR="00000000" w:rsidRPr="00000000">
              <w:rPr>
                <w:rFonts w:ascii="Times New Roman" w:cs="Times New Roman" w:eastAsia="Times New Roman" w:hAnsi="Times New Roman"/>
                <w:i w:val="1"/>
                <w:sz w:val="24"/>
                <w:szCs w:val="24"/>
                <w:rtl w:val="0"/>
              </w:rPr>
              <w:t xml:space="preserve">p</w:t>
            </w:r>
            <w:r w:rsidDel="00000000" w:rsidR="00000000" w:rsidRPr="00000000">
              <w:rPr>
                <w:rFonts w:ascii="Times New Roman" w:cs="Times New Roman" w:eastAsia="Times New Roman" w:hAnsi="Times New Roman"/>
                <w:sz w:val="24"/>
                <w:szCs w:val="24"/>
                <w:rtl w:val="0"/>
              </w:rPr>
              <w:t xml:space="preserve">&lt;.05, ***=</w:t>
            </w:r>
            <w:r w:rsidDel="00000000" w:rsidR="00000000" w:rsidRPr="00000000">
              <w:rPr>
                <w:rFonts w:ascii="Times New Roman" w:cs="Times New Roman" w:eastAsia="Times New Roman" w:hAnsi="Times New Roman"/>
                <w:i w:val="1"/>
                <w:sz w:val="24"/>
                <w:szCs w:val="24"/>
                <w:rtl w:val="0"/>
              </w:rPr>
              <w:t xml:space="preserve">p</w:t>
            </w:r>
            <w:r w:rsidDel="00000000" w:rsidR="00000000" w:rsidRPr="00000000">
              <w:rPr>
                <w:rFonts w:ascii="Times New Roman" w:cs="Times New Roman" w:eastAsia="Times New Roman" w:hAnsi="Times New Roman"/>
                <w:sz w:val="24"/>
                <w:szCs w:val="24"/>
                <w:rtl w:val="0"/>
              </w:rPr>
              <w:t xml:space="preserve">&lt;.01, two-tailed. </w:t>
            </w:r>
          </w:p>
        </w:tc>
      </w:tr>
    </w:tbl>
    <w:p w:rsidR="00000000" w:rsidDel="00000000" w:rsidP="00000000" w:rsidRDefault="00000000" w:rsidRPr="00000000" w14:paraId="0000010C">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Grauer and Horowitz’ main findings are also preserved in the results based on their model 5, which models a dyadic comparison between battlefield participants. In these models, having a war college or staff college, when the opponent does not, is correlated with tactical victory, while Grauer and Horowitz’ findings still hold. In particular, i</w:t>
      </w:r>
      <w:r w:rsidDel="00000000" w:rsidR="00000000" w:rsidRPr="00000000">
        <w:rPr>
          <w:rFonts w:ascii="Times New Roman" w:cs="Times New Roman" w:eastAsia="Times New Roman" w:hAnsi="Times New Roman"/>
          <w:sz w:val="24"/>
          <w:szCs w:val="24"/>
          <w:rtl w:val="0"/>
        </w:rPr>
        <w:t xml:space="preserve">ncluding the data on military schools also does not change the fact that better educated countries are more likely to enjoy tactical success, suggesting an effect for military education independent of the societal level of schooling.</w:t>
      </w:r>
    </w:p>
    <w:p w:rsidR="00000000" w:rsidDel="00000000" w:rsidP="00000000" w:rsidRDefault="00000000" w:rsidRPr="00000000" w14:paraId="0000010D">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terms of overall model fit, the models that include the </w:t>
      </w:r>
      <w:r w:rsidDel="00000000" w:rsidR="00000000" w:rsidRPr="00000000">
        <w:rPr>
          <w:rFonts w:ascii="Times New Roman" w:cs="Times New Roman" w:eastAsia="Times New Roman" w:hAnsi="Times New Roman"/>
          <w:i w:val="1"/>
          <w:sz w:val="24"/>
          <w:szCs w:val="24"/>
          <w:rtl w:val="0"/>
        </w:rPr>
        <w:t xml:space="preserve">War college </w:t>
      </w:r>
      <w:r w:rsidDel="00000000" w:rsidR="00000000" w:rsidRPr="00000000">
        <w:rPr>
          <w:rFonts w:ascii="Times New Roman" w:cs="Times New Roman" w:eastAsia="Times New Roman" w:hAnsi="Times New Roman"/>
          <w:sz w:val="24"/>
          <w:szCs w:val="24"/>
          <w:rtl w:val="0"/>
        </w:rPr>
        <w:t xml:space="preserve">variable perform better than the replication models from the Grauer and Horowitz study. For Model 3, including the </w:t>
      </w:r>
      <w:r w:rsidDel="00000000" w:rsidR="00000000" w:rsidRPr="00000000">
        <w:rPr>
          <w:rFonts w:ascii="Times New Roman" w:cs="Times New Roman" w:eastAsia="Times New Roman" w:hAnsi="Times New Roman"/>
          <w:i w:val="1"/>
          <w:sz w:val="24"/>
          <w:szCs w:val="24"/>
          <w:rtl w:val="0"/>
        </w:rPr>
        <w:t xml:space="preserve">War college</w:t>
      </w:r>
      <w:r w:rsidDel="00000000" w:rsidR="00000000" w:rsidRPr="00000000">
        <w:rPr>
          <w:rFonts w:ascii="Times New Roman" w:cs="Times New Roman" w:eastAsia="Times New Roman" w:hAnsi="Times New Roman"/>
          <w:sz w:val="24"/>
          <w:szCs w:val="24"/>
          <w:rtl w:val="0"/>
        </w:rPr>
        <w:t xml:space="preserve"> variable increases the pseudo-R</w:t>
      </w:r>
      <w:r w:rsidDel="00000000" w:rsidR="00000000" w:rsidRPr="00000000">
        <w:rPr>
          <w:rFonts w:ascii="Times New Roman" w:cs="Times New Roman" w:eastAsia="Times New Roman" w:hAnsi="Times New Roman"/>
          <w:sz w:val="24"/>
          <w:szCs w:val="24"/>
          <w:vertAlign w:val="superscript"/>
          <w:rtl w:val="0"/>
        </w:rPr>
        <w:t xml:space="preserve">2</w:t>
      </w:r>
      <w:r w:rsidDel="00000000" w:rsidR="00000000" w:rsidRPr="00000000">
        <w:rPr>
          <w:rFonts w:ascii="Times New Roman" w:cs="Times New Roman" w:eastAsia="Times New Roman" w:hAnsi="Times New Roman"/>
          <w:sz w:val="24"/>
          <w:szCs w:val="24"/>
          <w:rtl w:val="0"/>
        </w:rPr>
        <w:t xml:space="preserve"> statistic by 2.6 percent, from .398 to .424, and for Model 5 by 8.5 percent, from .755 to .840. Including the</w:t>
      </w:r>
      <w:r w:rsidDel="00000000" w:rsidR="00000000" w:rsidRPr="00000000">
        <w:rPr>
          <w:rFonts w:ascii="Times New Roman" w:cs="Times New Roman" w:eastAsia="Times New Roman" w:hAnsi="Times New Roman"/>
          <w:i w:val="1"/>
          <w:sz w:val="24"/>
          <w:szCs w:val="24"/>
          <w:rtl w:val="0"/>
        </w:rPr>
        <w:t xml:space="preserve"> Staff college</w:t>
      </w:r>
      <w:r w:rsidDel="00000000" w:rsidR="00000000" w:rsidRPr="00000000">
        <w:rPr>
          <w:rFonts w:ascii="Times New Roman" w:cs="Times New Roman" w:eastAsia="Times New Roman" w:hAnsi="Times New Roman"/>
          <w:sz w:val="24"/>
          <w:szCs w:val="24"/>
          <w:rtl w:val="0"/>
        </w:rPr>
        <w:t xml:space="preserve"> variable in Model 5 explains almost 5 percent more tactical wins and losses than the original model (.799 as compared to .755). Including data on military schools in the Grauer and Horowitz models increases our ability to predict when military forces will achieve tactical victory.</w:t>
      </w:r>
    </w:p>
    <w:p w:rsidR="00000000" w:rsidDel="00000000" w:rsidP="00000000" w:rsidRDefault="00000000" w:rsidRPr="00000000" w14:paraId="0000010E">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w:t>
      </w:r>
      <w:r w:rsidDel="00000000" w:rsidR="00000000" w:rsidRPr="00000000">
        <w:rPr>
          <w:rFonts w:ascii="Times New Roman" w:cs="Times New Roman" w:eastAsia="Times New Roman" w:hAnsi="Times New Roman"/>
          <w:sz w:val="24"/>
          <w:szCs w:val="24"/>
          <w:rtl w:val="0"/>
        </w:rPr>
        <w:t xml:space="preserve">eplicating Grauer and Horowitz’ results constrained the analysis to the 104 or 83 engagements for which data are available, but the full data set contains force employment data on 125 engagements. This allows us to determine if there is a connection between having a military school and employing force according to Biddle’s modern system of military tactics, independent of the tactical outcome of a battle. Table 2 shows predicted probabilities using all 125 of Grauer and Horowitz’ cases. Since the </w:t>
      </w:r>
      <w:r w:rsidDel="00000000" w:rsidR="00000000" w:rsidRPr="00000000">
        <w:rPr>
          <w:rFonts w:ascii="Times New Roman" w:cs="Times New Roman" w:eastAsia="Times New Roman" w:hAnsi="Times New Roman"/>
          <w:i w:val="1"/>
          <w:sz w:val="24"/>
          <w:szCs w:val="24"/>
          <w:rtl w:val="0"/>
        </w:rPr>
        <w:t xml:space="preserve">War college </w:t>
      </w:r>
      <w:r w:rsidDel="00000000" w:rsidR="00000000" w:rsidRPr="00000000">
        <w:rPr>
          <w:rFonts w:ascii="Times New Roman" w:cs="Times New Roman" w:eastAsia="Times New Roman" w:hAnsi="Times New Roman"/>
          <w:sz w:val="24"/>
          <w:szCs w:val="24"/>
          <w:rtl w:val="0"/>
        </w:rPr>
        <w:t xml:space="preserve">variable performed better in the analyses reported in Table 1, and since it is a more discriminating measure of a state’s military education system, I estimated an ordered probit model of the </w:t>
      </w:r>
      <w:r w:rsidDel="00000000" w:rsidR="00000000" w:rsidRPr="00000000">
        <w:rPr>
          <w:rFonts w:ascii="Times New Roman" w:cs="Times New Roman" w:eastAsia="Times New Roman" w:hAnsi="Times New Roman"/>
          <w:i w:val="1"/>
          <w:sz w:val="24"/>
          <w:szCs w:val="24"/>
          <w:rtl w:val="0"/>
        </w:rPr>
        <w:t xml:space="preserve">War college</w:t>
      </w:r>
      <w:r w:rsidDel="00000000" w:rsidR="00000000" w:rsidRPr="00000000">
        <w:rPr>
          <w:rFonts w:ascii="Times New Roman" w:cs="Times New Roman" w:eastAsia="Times New Roman" w:hAnsi="Times New Roman"/>
          <w:sz w:val="24"/>
          <w:szCs w:val="24"/>
          <w:rtl w:val="0"/>
        </w:rPr>
        <w:t xml:space="preserve"> variable</w:t>
      </w:r>
      <w:r w:rsidDel="00000000" w:rsidR="00000000" w:rsidRPr="00000000">
        <w:rPr>
          <w:rFonts w:ascii="Times New Roman" w:cs="Times New Roman" w:eastAsia="Times New Roman" w:hAnsi="Times New Roman"/>
          <w:sz w:val="24"/>
          <w:szCs w:val="24"/>
          <w:rtl w:val="0"/>
        </w:rPr>
        <w:t xml:space="preserve"> on Grauer and Horowitz’ four-point </w:t>
      </w:r>
      <w:r w:rsidDel="00000000" w:rsidR="00000000" w:rsidRPr="00000000">
        <w:rPr>
          <w:rFonts w:ascii="Times New Roman" w:cs="Times New Roman" w:eastAsia="Times New Roman" w:hAnsi="Times New Roman"/>
          <w:i w:val="1"/>
          <w:sz w:val="24"/>
          <w:szCs w:val="24"/>
          <w:rtl w:val="0"/>
        </w:rPr>
        <w:t xml:space="preserve">Msadopt</w:t>
      </w:r>
      <w:r w:rsidDel="00000000" w:rsidR="00000000" w:rsidRPr="00000000">
        <w:rPr>
          <w:rFonts w:ascii="Times New Roman" w:cs="Times New Roman" w:eastAsia="Times New Roman" w:hAnsi="Times New Roman"/>
          <w:sz w:val="24"/>
          <w:szCs w:val="24"/>
          <w:rtl w:val="0"/>
        </w:rPr>
        <w:t xml:space="preserve"> variable. There are no control variables entered into the analysis, since inclusion of more variables reduces data availability. In future research, perhaps better data can engage this relationship more fully.</w:t>
      </w:r>
    </w:p>
    <w:p w:rsidR="00000000" w:rsidDel="00000000" w:rsidP="00000000" w:rsidRDefault="00000000" w:rsidRPr="00000000" w14:paraId="0000010F">
      <w:pPr>
        <w:spacing w:line="48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10">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A‒2. Predicted Probabilities, Adopting the Modern System (Grauer &amp; Horowitz)</w:t>
      </w: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10"/>
        <w:gridCol w:w="3825"/>
        <w:gridCol w:w="2385"/>
        <w:gridCol w:w="2340"/>
        <w:tblGridChange w:id="0">
          <w:tblGrid>
            <w:gridCol w:w="810"/>
            <w:gridCol w:w="3825"/>
            <w:gridCol w:w="2385"/>
            <w:gridCol w:w="2340"/>
          </w:tblGrid>
        </w:tblGridChange>
      </w:tblGrid>
      <w:tr>
        <w:trPr>
          <w:trHeight w:val="440" w:hRule="atLeast"/>
        </w:trPr>
        <w:tc>
          <w:tcPr>
            <w:gridSpan w:val="2"/>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1">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tl w:val="0"/>
              </w:rPr>
            </w:r>
          </w:p>
        </w:tc>
        <w:tc>
          <w:tcPr>
            <w:gridSpan w:val="2"/>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3">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Probability of Adopting the Modern System</w:t>
            </w:r>
          </w:p>
        </w:tc>
      </w:tr>
      <w:tr>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5">
            <w:pPr>
              <w:widowControl w:val="0"/>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Value</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6">
            <w:pPr>
              <w:widowControl w:val="0"/>
              <w:spacing w:line="24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Description</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7">
            <w:pPr>
              <w:widowControl w:val="0"/>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Without war college</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8">
            <w:pPr>
              <w:widowControl w:val="0"/>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With war college</w:t>
            </w:r>
          </w:p>
        </w:tc>
      </w:tr>
      <w:tr>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9">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A">
            <w:pPr>
              <w:widowControl w:val="0"/>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Failure to implement/minimal implementation of modern system at tactical and operational levels</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B">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.38</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C">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r>
      <w:t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D">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1E">
            <w:pPr>
              <w:widowControl w:val="0"/>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Moderate implementation at one level (tactical or operational), failure to implement/minimal implementation at the other level</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1F">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.22</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0">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w:t>
            </w:r>
          </w:p>
        </w:tc>
      </w:tr>
      <w:t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1">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2">
            <w:pPr>
              <w:widowControl w:val="0"/>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Moderate implementation at both tactical and operational levels, or thorough implementation at one level and no implementation at the other</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3">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.15</w:t>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4">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.16</w:t>
            </w:r>
          </w:p>
        </w:tc>
      </w:tr>
      <w:tr>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5">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6">
            <w:pPr>
              <w:widowControl w:val="0"/>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Thorough implementation at both levels, or thorough implementation at one level and moderate implementation at the other</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7">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.25</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28">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.44</w:t>
            </w:r>
          </w:p>
        </w:tc>
      </w:tr>
      <w:tr>
        <w:trPr>
          <w:trHeight w:val="440" w:hRule="atLeast"/>
        </w:trPr>
        <w:tc>
          <w:tcPr>
            <w:gridSpan w:val="4"/>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29">
            <w:pPr>
              <w:widowControl w:val="0"/>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Definitions come from Grauer &amp; Horowitz 2016; predicted probabilities obtained using King et al.’s (2000) CLARIFY program, based on regressing the </w:t>
            </w:r>
            <w:r w:rsidDel="00000000" w:rsidR="00000000" w:rsidRPr="00000000">
              <w:rPr>
                <w:rFonts w:ascii="Times New Roman" w:cs="Times New Roman" w:eastAsia="Times New Roman" w:hAnsi="Times New Roman"/>
                <w:i w:val="1"/>
                <w:sz w:val="24"/>
                <w:szCs w:val="24"/>
                <w:rtl w:val="0"/>
              </w:rPr>
              <w:t xml:space="preserve">War college</w:t>
            </w:r>
            <w:r w:rsidDel="00000000" w:rsidR="00000000" w:rsidRPr="00000000">
              <w:rPr>
                <w:rFonts w:ascii="Times New Roman" w:cs="Times New Roman" w:eastAsia="Times New Roman" w:hAnsi="Times New Roman"/>
                <w:sz w:val="24"/>
                <w:szCs w:val="24"/>
                <w:rtl w:val="0"/>
              </w:rPr>
              <w:t xml:space="preserve"> dummy (1=country has a war college at the start of a conflict) on Grauer &amp; Horowitz’ </w:t>
            </w:r>
            <w:r w:rsidDel="00000000" w:rsidR="00000000" w:rsidRPr="00000000">
              <w:rPr>
                <w:rFonts w:ascii="Times New Roman" w:cs="Times New Roman" w:eastAsia="Times New Roman" w:hAnsi="Times New Roman"/>
                <w:i w:val="1"/>
                <w:sz w:val="24"/>
                <w:szCs w:val="24"/>
                <w:rtl w:val="0"/>
              </w:rPr>
              <w:t xml:space="preserve">Msadopt</w:t>
            </w:r>
            <w:r w:rsidDel="00000000" w:rsidR="00000000" w:rsidRPr="00000000">
              <w:rPr>
                <w:rFonts w:ascii="Times New Roman" w:cs="Times New Roman" w:eastAsia="Times New Roman" w:hAnsi="Times New Roman"/>
                <w:sz w:val="24"/>
                <w:szCs w:val="24"/>
                <w:rtl w:val="0"/>
              </w:rPr>
              <w:t xml:space="preserve"> variable using ordered probit (coefficient: .535, standard error: .210, </w:t>
            </w:r>
            <w:r w:rsidDel="00000000" w:rsidR="00000000" w:rsidRPr="00000000">
              <w:rPr>
                <w:rFonts w:ascii="Times New Roman" w:cs="Times New Roman" w:eastAsia="Times New Roman" w:hAnsi="Times New Roman"/>
                <w:i w:val="1"/>
                <w:sz w:val="24"/>
                <w:szCs w:val="24"/>
                <w:rtl w:val="0"/>
              </w:rPr>
              <w:t xml:space="preserve">p</w:t>
            </w:r>
            <w:r w:rsidDel="00000000" w:rsidR="00000000" w:rsidRPr="00000000">
              <w:rPr>
                <w:rFonts w:ascii="Times New Roman" w:cs="Times New Roman" w:eastAsia="Times New Roman" w:hAnsi="Times New Roman"/>
                <w:sz w:val="24"/>
                <w:szCs w:val="24"/>
                <w:rtl w:val="0"/>
              </w:rPr>
              <w:t xml:space="preserve">=.011, </w:t>
            </w:r>
            <w:r w:rsidDel="00000000" w:rsidR="00000000" w:rsidRPr="00000000">
              <w:rPr>
                <w:rFonts w:ascii="Times New Roman" w:cs="Times New Roman" w:eastAsia="Times New Roman" w:hAnsi="Times New Roman"/>
                <w:i w:val="1"/>
                <w:sz w:val="24"/>
                <w:szCs w:val="24"/>
                <w:rtl w:val="0"/>
              </w:rPr>
              <w:t xml:space="preserve">n</w:t>
            </w:r>
            <w:r w:rsidDel="00000000" w:rsidR="00000000" w:rsidRPr="00000000">
              <w:rPr>
                <w:rFonts w:ascii="Times New Roman" w:cs="Times New Roman" w:eastAsia="Times New Roman" w:hAnsi="Times New Roman"/>
                <w:sz w:val="24"/>
                <w:szCs w:val="24"/>
                <w:rtl w:val="0"/>
              </w:rPr>
              <w:t xml:space="preserve">=125).</w:t>
            </w:r>
          </w:p>
        </w:tc>
      </w:tr>
    </w:tbl>
    <w:p w:rsidR="00000000" w:rsidDel="00000000" w:rsidP="00000000" w:rsidRDefault="00000000" w:rsidRPr="00000000" w14:paraId="0000012D">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2E">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Using these ordered probit results, I use the CLARIFY program to predict the probability that a state with a war college will fall on a given value of Grauer and Horowitz’ four-point scale (King, </w:t>
      </w:r>
      <w:r w:rsidDel="00000000" w:rsidR="00000000" w:rsidRPr="00000000">
        <w:rPr>
          <w:rFonts w:ascii="Times New Roman" w:cs="Times New Roman" w:eastAsia="Times New Roman" w:hAnsi="Times New Roman"/>
          <w:sz w:val="24"/>
          <w:szCs w:val="24"/>
          <w:highlight w:val="white"/>
          <w:rtl w:val="0"/>
        </w:rPr>
        <w:t xml:space="preserve">Tomz, and Wittenberg</w:t>
      </w:r>
      <w:r w:rsidDel="00000000" w:rsidR="00000000" w:rsidRPr="00000000">
        <w:rPr>
          <w:rFonts w:ascii="Times New Roman" w:cs="Times New Roman" w:eastAsia="Times New Roman" w:hAnsi="Times New Roman"/>
          <w:sz w:val="24"/>
          <w:szCs w:val="24"/>
          <w:rtl w:val="0"/>
        </w:rPr>
        <w:t xml:space="preserve"> 2000; Tomz, Wittenberg, and King 2003). States with a war college are 19 percent more likely to implement the modern system of tactics (level 3 on the scale) and 18 percent less likely to not implement it (level 0).</w:t>
      </w:r>
    </w:p>
    <w:p w:rsidR="00000000" w:rsidDel="00000000" w:rsidP="00000000" w:rsidRDefault="00000000" w:rsidRPr="00000000" w14:paraId="0000012F">
      <w:pPr>
        <w:spacing w:after="200" w:before="200" w:line="480" w:lineRule="auto"/>
        <w:ind w:left="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Robustness Checks</w:t>
      </w:r>
    </w:p>
    <w:p w:rsidR="00000000" w:rsidDel="00000000" w:rsidP="00000000" w:rsidRDefault="00000000" w:rsidRPr="00000000" w14:paraId="00000130">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Grauer and Horowitz (2012) employ a definition of military effectiveness based on battlefield outcomes, but Biddle and Long (2004) and others have used a definition based on military efficiency</w:t>
      </w:r>
      <w:r w:rsidDel="00000000" w:rsidR="00000000" w:rsidRPr="00000000">
        <w:rPr>
          <w:rFonts w:ascii="Times New Roman" w:cs="Times New Roman" w:eastAsia="Times New Roman" w:hAnsi="Times New Roman"/>
          <w:sz w:val="24"/>
          <w:szCs w:val="24"/>
          <w:rtl w:val="0"/>
        </w:rPr>
        <w:t xml:space="preserve">. So, this study presents robustness checks of the link between military education and battlefield effectiveness using $$</w:t>
      </w:r>
    </w:p>
    <w:p w:rsidR="00000000" w:rsidDel="00000000" w:rsidP="00000000" w:rsidRDefault="00000000" w:rsidRPr="00000000" w14:paraId="00000131">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Neither Grauer and Horowitz’ battlefield outcome definition of military effectiveness, or Biddle and Long’s efficiency definition, capture that most prized element of military prowess: victory in war. So, this study also presents a robustness check on data on 140 interstate wars from 1945 to 2003, from the Correlates of War Project’s (COW) Interstate War Dataset (Sarkees and Wayman 2010). I examined only wars after 1945 given the unique geopolitical circumstances of the postwar era. I estimated the probability that a state with a war college (using the </w:t>
      </w:r>
      <w:r w:rsidDel="00000000" w:rsidR="00000000" w:rsidRPr="00000000">
        <w:rPr>
          <w:rFonts w:ascii="Times New Roman" w:cs="Times New Roman" w:eastAsia="Times New Roman" w:hAnsi="Times New Roman"/>
          <w:i w:val="1"/>
          <w:sz w:val="24"/>
          <w:szCs w:val="24"/>
          <w:rtl w:val="0"/>
        </w:rPr>
        <w:t xml:space="preserve">War college</w:t>
      </w:r>
      <w:r w:rsidDel="00000000" w:rsidR="00000000" w:rsidRPr="00000000">
        <w:rPr>
          <w:rFonts w:ascii="Times New Roman" w:cs="Times New Roman" w:eastAsia="Times New Roman" w:hAnsi="Times New Roman"/>
          <w:sz w:val="24"/>
          <w:szCs w:val="24"/>
          <w:rtl w:val="0"/>
        </w:rPr>
        <w:t xml:space="preserve"> variable) would win an interstate war. The COW project provides an eight-point nominal level variable (</w:t>
      </w:r>
      <w:r w:rsidDel="00000000" w:rsidR="00000000" w:rsidRPr="00000000">
        <w:rPr>
          <w:rFonts w:ascii="Times New Roman" w:cs="Times New Roman" w:eastAsia="Times New Roman" w:hAnsi="Times New Roman"/>
          <w:i w:val="1"/>
          <w:sz w:val="24"/>
          <w:szCs w:val="24"/>
          <w:rtl w:val="0"/>
        </w:rPr>
        <w:t xml:space="preserve">Outcome</w:t>
      </w:r>
      <w:r w:rsidDel="00000000" w:rsidR="00000000" w:rsidRPr="00000000">
        <w:rPr>
          <w:rFonts w:ascii="Times New Roman" w:cs="Times New Roman" w:eastAsia="Times New Roman" w:hAnsi="Times New Roman"/>
          <w:sz w:val="24"/>
          <w:szCs w:val="24"/>
          <w:rtl w:val="0"/>
        </w:rPr>
        <w:t xml:space="preserve">) where 1 means that the side in question won the war, 2 means the side lost, 3 means the result was a tie, 4 means the war transformed into another type of war (e.g., intrastate, extrastate), and so on. I transformed this variable into a dummy variable, </w:t>
      </w:r>
      <w:r w:rsidDel="00000000" w:rsidR="00000000" w:rsidRPr="00000000">
        <w:rPr>
          <w:rFonts w:ascii="Times New Roman" w:cs="Times New Roman" w:eastAsia="Times New Roman" w:hAnsi="Times New Roman"/>
          <w:i w:val="1"/>
          <w:sz w:val="24"/>
          <w:szCs w:val="24"/>
          <w:rtl w:val="0"/>
        </w:rPr>
        <w:t xml:space="preserve">Winner</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that equals 1 if the COW </w:t>
      </w:r>
      <w:r w:rsidDel="00000000" w:rsidR="00000000" w:rsidRPr="00000000">
        <w:rPr>
          <w:rFonts w:ascii="Times New Roman" w:cs="Times New Roman" w:eastAsia="Times New Roman" w:hAnsi="Times New Roman"/>
          <w:i w:val="1"/>
          <w:sz w:val="24"/>
          <w:szCs w:val="24"/>
          <w:rtl w:val="0"/>
        </w:rPr>
        <w:t xml:space="preserve">Outcome</w:t>
      </w:r>
      <w:r w:rsidDel="00000000" w:rsidR="00000000" w:rsidRPr="00000000">
        <w:rPr>
          <w:rFonts w:ascii="Times New Roman" w:cs="Times New Roman" w:eastAsia="Times New Roman" w:hAnsi="Times New Roman"/>
          <w:sz w:val="24"/>
          <w:szCs w:val="24"/>
          <w:rtl w:val="0"/>
        </w:rPr>
        <w:t xml:space="preserve"> variable equals 1, and 0 otherwise. This presents a high bar for the notion that states with more developed military education systems are more likely to win, since the </w:t>
      </w:r>
      <w:r w:rsidDel="00000000" w:rsidR="00000000" w:rsidRPr="00000000">
        <w:rPr>
          <w:rFonts w:ascii="Times New Roman" w:cs="Times New Roman" w:eastAsia="Times New Roman" w:hAnsi="Times New Roman"/>
          <w:i w:val="1"/>
          <w:sz w:val="24"/>
          <w:szCs w:val="24"/>
          <w:rtl w:val="0"/>
        </w:rPr>
        <w:t xml:space="preserve">Winner</w:t>
      </w:r>
      <w:r w:rsidDel="00000000" w:rsidR="00000000" w:rsidRPr="00000000">
        <w:rPr>
          <w:rFonts w:ascii="Times New Roman" w:cs="Times New Roman" w:eastAsia="Times New Roman" w:hAnsi="Times New Roman"/>
          <w:sz w:val="24"/>
          <w:szCs w:val="24"/>
          <w:rtl w:val="0"/>
        </w:rPr>
        <w:t xml:space="preserve"> variable includes only clear-cut cases of victory.</w:t>
      </w:r>
    </w:p>
    <w:p w:rsidR="00000000" w:rsidDel="00000000" w:rsidP="00000000" w:rsidRDefault="00000000" w:rsidRPr="00000000" w14:paraId="00000132">
      <w:pPr>
        <w:spacing w:line="480" w:lineRule="auto"/>
        <w:contextualSpacing w:val="0"/>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133">
      <w:pPr>
        <w:spacing w:line="480" w:lineRule="auto"/>
        <w:contextualSpacing w:val="0"/>
        <w:rPr>
          <w:rFonts w:ascii="Times New Roman" w:cs="Times New Roman" w:eastAsia="Times New Roman" w:hAnsi="Times New Roman"/>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134">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Table 3. Predicted Probabilities, Interstate War Outcomes, 1945–2003</w:t>
      </w:r>
      <w:r w:rsidDel="00000000" w:rsidR="00000000" w:rsidRPr="00000000">
        <w:rPr>
          <w:rtl w:val="0"/>
        </w:rPr>
      </w:r>
    </w:p>
    <w:tbl>
      <w:tblPr>
        <w:tblStyle w:val="Table3"/>
        <w:tblW w:w="933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10"/>
        <w:gridCol w:w="3105"/>
        <w:gridCol w:w="1805"/>
        <w:gridCol w:w="1805"/>
        <w:gridCol w:w="1805"/>
        <w:tblGridChange w:id="0">
          <w:tblGrid>
            <w:gridCol w:w="810"/>
            <w:gridCol w:w="3105"/>
            <w:gridCol w:w="1805"/>
            <w:gridCol w:w="1805"/>
            <w:gridCol w:w="1805"/>
          </w:tblGrid>
        </w:tblGridChange>
      </w:tblGrid>
      <w:tr>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5">
            <w:pPr>
              <w:widowControl w:val="0"/>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Value</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6">
            <w:pPr>
              <w:widowControl w:val="0"/>
              <w:spacing w:line="240" w:lineRule="auto"/>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Description</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7">
            <w:pPr>
              <w:widowControl w:val="0"/>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Probability </w:t>
            </w:r>
            <w:r w:rsidDel="00000000" w:rsidR="00000000" w:rsidRPr="00000000">
              <w:rPr>
                <w:rFonts w:ascii="Times New Roman" w:cs="Times New Roman" w:eastAsia="Times New Roman" w:hAnsi="Times New Roman"/>
                <w:b w:val="1"/>
                <w:i w:val="1"/>
                <w:sz w:val="24"/>
                <w:szCs w:val="24"/>
                <w:rtl w:val="0"/>
              </w:rPr>
              <w:t xml:space="preserve">without </w:t>
            </w:r>
            <w:r w:rsidDel="00000000" w:rsidR="00000000" w:rsidRPr="00000000">
              <w:rPr>
                <w:rFonts w:ascii="Times New Roman" w:cs="Times New Roman" w:eastAsia="Times New Roman" w:hAnsi="Times New Roman"/>
                <w:b w:val="1"/>
                <w:sz w:val="24"/>
                <w:szCs w:val="24"/>
                <w:rtl w:val="0"/>
              </w:rPr>
              <w:t xml:space="preserve">a war college</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8">
            <w:pPr>
              <w:widowControl w:val="0"/>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Probability </w:t>
            </w:r>
            <w:r w:rsidDel="00000000" w:rsidR="00000000" w:rsidRPr="00000000">
              <w:rPr>
                <w:rFonts w:ascii="Times New Roman" w:cs="Times New Roman" w:eastAsia="Times New Roman" w:hAnsi="Times New Roman"/>
                <w:b w:val="1"/>
                <w:i w:val="1"/>
                <w:sz w:val="24"/>
                <w:szCs w:val="24"/>
                <w:rtl w:val="0"/>
              </w:rPr>
              <w:t xml:space="preserve">with </w:t>
            </w:r>
            <w:r w:rsidDel="00000000" w:rsidR="00000000" w:rsidRPr="00000000">
              <w:rPr>
                <w:rFonts w:ascii="Times New Roman" w:cs="Times New Roman" w:eastAsia="Times New Roman" w:hAnsi="Times New Roman"/>
                <w:b w:val="1"/>
                <w:sz w:val="24"/>
                <w:szCs w:val="24"/>
                <w:rtl w:val="0"/>
              </w:rPr>
              <w:t xml:space="preserve">a war college</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9">
            <w:pPr>
              <w:widowControl w:val="0"/>
              <w:spacing w:line="240"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Change in probability</w:t>
            </w:r>
          </w:p>
        </w:tc>
      </w:tr>
      <w:tr>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A">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3B">
            <w:pPr>
              <w:widowControl w:val="0"/>
              <w:spacing w:line="240" w:lineRule="auto"/>
              <w:ind w:left="255"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Country lost an interstate war (</w:t>
            </w:r>
            <w:r w:rsidDel="00000000" w:rsidR="00000000" w:rsidRPr="00000000">
              <w:rPr>
                <w:rFonts w:ascii="Times New Roman" w:cs="Times New Roman" w:eastAsia="Times New Roman" w:hAnsi="Times New Roman"/>
                <w:i w:val="1"/>
                <w:sz w:val="24"/>
                <w:szCs w:val="24"/>
                <w:rtl w:val="0"/>
              </w:rPr>
              <w:t xml:space="preserve">n</w:t>
            </w:r>
            <w:r w:rsidDel="00000000" w:rsidR="00000000" w:rsidRPr="00000000">
              <w:rPr>
                <w:rFonts w:ascii="Times New Roman" w:cs="Times New Roman" w:eastAsia="Times New Roman" w:hAnsi="Times New Roman"/>
                <w:sz w:val="24"/>
                <w:szCs w:val="24"/>
                <w:rtl w:val="0"/>
              </w:rPr>
              <w:t xml:space="preserve">=84)</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C">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.77</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D">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.57</w:t>
            </w:r>
          </w:p>
        </w:tc>
        <w:tc>
          <w:tcPr>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E">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Gungsuh" w:cs="Gungsuh" w:eastAsia="Gungsuh" w:hAnsi="Gungsuh"/>
                <w:sz w:val="24"/>
                <w:szCs w:val="24"/>
                <w:rtl w:val="0"/>
              </w:rPr>
              <w:t xml:space="preserve">−.20</w:t>
            </w:r>
          </w:p>
        </w:tc>
      </w:tr>
      <w:tr>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3F">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0">
            <w:pPr>
              <w:widowControl w:val="0"/>
              <w:spacing w:line="240" w:lineRule="auto"/>
              <w:ind w:left="255" w:hanging="27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Country won an interstate war (</w:t>
            </w:r>
            <w:r w:rsidDel="00000000" w:rsidR="00000000" w:rsidRPr="00000000">
              <w:rPr>
                <w:rFonts w:ascii="Times New Roman" w:cs="Times New Roman" w:eastAsia="Times New Roman" w:hAnsi="Times New Roman"/>
                <w:i w:val="1"/>
                <w:sz w:val="24"/>
                <w:szCs w:val="24"/>
                <w:rtl w:val="0"/>
              </w:rPr>
              <w:t xml:space="preserve">n</w:t>
            </w:r>
            <w:r w:rsidDel="00000000" w:rsidR="00000000" w:rsidRPr="00000000">
              <w:rPr>
                <w:rFonts w:ascii="Times New Roman" w:cs="Times New Roman" w:eastAsia="Times New Roman" w:hAnsi="Times New Roman"/>
                <w:sz w:val="24"/>
                <w:szCs w:val="24"/>
                <w:rtl w:val="0"/>
              </w:rPr>
              <w:t xml:space="preserve">=56)</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1">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.23</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2">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.43</w:t>
            </w:r>
          </w:p>
        </w:tc>
        <w:tc>
          <w:tcPr>
            <w:tcBorders>
              <w:top w:color="ffffff" w:space="0" w:sz="8" w:val="single"/>
              <w:left w:color="ffffff" w:space="0" w:sz="8" w:val="single"/>
              <w:right w:color="ffffff" w:space="0" w:sz="8" w:val="single"/>
            </w:tcBorders>
            <w:shd w:fill="auto" w:val="clear"/>
            <w:tcMar>
              <w:top w:w="100.0" w:type="dxa"/>
              <w:left w:w="100.0" w:type="dxa"/>
              <w:bottom w:w="100.0" w:type="dxa"/>
              <w:right w:w="100.0" w:type="dxa"/>
            </w:tcMar>
            <w:vAlign w:val="center"/>
          </w:tcPr>
          <w:p w:rsidR="00000000" w:rsidDel="00000000" w:rsidP="00000000" w:rsidRDefault="00000000" w:rsidRPr="00000000" w14:paraId="00000143">
            <w:pPr>
              <w:widowControl w:val="0"/>
              <w:spacing w:line="24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w:t>
            </w:r>
          </w:p>
        </w:tc>
      </w:tr>
      <w:tr>
        <w:trPr>
          <w:trHeight w:val="440" w:hRule="atLeast"/>
        </w:trPr>
        <w:tc>
          <w:tcPr>
            <w:gridSpan w:val="5"/>
            <w:tcBorders>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144">
            <w:pPr>
              <w:widowControl w:val="0"/>
              <w:spacing w:line="24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Note: Interwar outcome data from the Correlates of War Project; baseline probability of winning an interstate war after 1945: .301; predicted probabilities obtained using King et al.’s (2000) CLARIFY program, based on regressing the </w:t>
            </w:r>
            <w:r w:rsidDel="00000000" w:rsidR="00000000" w:rsidRPr="00000000">
              <w:rPr>
                <w:rFonts w:ascii="Times New Roman" w:cs="Times New Roman" w:eastAsia="Times New Roman" w:hAnsi="Times New Roman"/>
                <w:i w:val="1"/>
                <w:sz w:val="24"/>
                <w:szCs w:val="24"/>
                <w:rtl w:val="0"/>
              </w:rPr>
              <w:t xml:space="preserve">War college</w:t>
            </w:r>
            <w:r w:rsidDel="00000000" w:rsidR="00000000" w:rsidRPr="00000000">
              <w:rPr>
                <w:rFonts w:ascii="Times New Roman" w:cs="Times New Roman" w:eastAsia="Times New Roman" w:hAnsi="Times New Roman"/>
                <w:sz w:val="24"/>
                <w:szCs w:val="24"/>
                <w:rtl w:val="0"/>
              </w:rPr>
              <w:t xml:space="preserve"> dummy (1=country has a war college at the start of a conflict) on war outcome data (dummy) using logit estimation (coefficient: .942, standard error: .359, </w:t>
            </w:r>
            <w:r w:rsidDel="00000000" w:rsidR="00000000" w:rsidRPr="00000000">
              <w:rPr>
                <w:rFonts w:ascii="Times New Roman" w:cs="Times New Roman" w:eastAsia="Times New Roman" w:hAnsi="Times New Roman"/>
                <w:i w:val="1"/>
                <w:sz w:val="24"/>
                <w:szCs w:val="24"/>
                <w:rtl w:val="0"/>
              </w:rPr>
              <w:t xml:space="preserve">p</w:t>
            </w:r>
            <w:r w:rsidDel="00000000" w:rsidR="00000000" w:rsidRPr="00000000">
              <w:rPr>
                <w:rFonts w:ascii="Times New Roman" w:cs="Times New Roman" w:eastAsia="Times New Roman" w:hAnsi="Times New Roman"/>
                <w:sz w:val="24"/>
                <w:szCs w:val="24"/>
                <w:rtl w:val="0"/>
              </w:rPr>
              <w:t xml:space="preserve">=.009, </w:t>
            </w:r>
            <w:r w:rsidDel="00000000" w:rsidR="00000000" w:rsidRPr="00000000">
              <w:rPr>
                <w:rFonts w:ascii="Times New Roman" w:cs="Times New Roman" w:eastAsia="Times New Roman" w:hAnsi="Times New Roman"/>
                <w:i w:val="1"/>
                <w:sz w:val="24"/>
                <w:szCs w:val="24"/>
                <w:rtl w:val="0"/>
              </w:rPr>
              <w:t xml:space="preserve">n</w:t>
            </w:r>
            <w:r w:rsidDel="00000000" w:rsidR="00000000" w:rsidRPr="00000000">
              <w:rPr>
                <w:rFonts w:ascii="Times New Roman" w:cs="Times New Roman" w:eastAsia="Times New Roman" w:hAnsi="Times New Roman"/>
                <w:sz w:val="24"/>
                <w:szCs w:val="24"/>
                <w:rtl w:val="0"/>
              </w:rPr>
              <w:t xml:space="preserve">=140, clusters=61).</w:t>
            </w:r>
          </w:p>
        </w:tc>
      </w:tr>
    </w:tbl>
    <w:p w:rsidR="00000000" w:rsidDel="00000000" w:rsidP="00000000" w:rsidRDefault="00000000" w:rsidRPr="00000000" w14:paraId="00000149">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14A">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Table 3 shows the predicted probabilities from this first robustness check. Even given the high bar that the </w:t>
      </w:r>
      <w:r w:rsidDel="00000000" w:rsidR="00000000" w:rsidRPr="00000000">
        <w:rPr>
          <w:rFonts w:ascii="Times New Roman" w:cs="Times New Roman" w:eastAsia="Times New Roman" w:hAnsi="Times New Roman"/>
          <w:i w:val="1"/>
          <w:sz w:val="24"/>
          <w:szCs w:val="24"/>
          <w:rtl w:val="0"/>
        </w:rPr>
        <w:t xml:space="preserve">Winner</w:t>
      </w:r>
      <w:r w:rsidDel="00000000" w:rsidR="00000000" w:rsidRPr="00000000">
        <w:rPr>
          <w:rFonts w:ascii="Times New Roman" w:cs="Times New Roman" w:eastAsia="Times New Roman" w:hAnsi="Times New Roman"/>
          <w:sz w:val="24"/>
          <w:szCs w:val="24"/>
          <w:rtl w:val="0"/>
        </w:rPr>
        <w:t xml:space="preserve"> variable entails</w:t>
      </w:r>
      <w:r w:rsidDel="00000000" w:rsidR="00000000" w:rsidRPr="00000000">
        <w:rPr>
          <w:rFonts w:ascii="Times New Roman" w:cs="Times New Roman" w:eastAsia="Times New Roman" w:hAnsi="Times New Roman"/>
          <w:sz w:val="24"/>
          <w:szCs w:val="24"/>
          <w:rtl w:val="0"/>
        </w:rPr>
        <w:t xml:space="preserve">, the data on interstate wars since 1945 indicate a 20 percent swing in the probability of victory if a state has a war college. Having an advanced military education system thus seems to matter for political victory in war, in addition to the tactical performance that the Grauer and Horowitz data suggest.</w:t>
      </w:r>
    </w:p>
    <w:p w:rsidR="00000000" w:rsidDel="00000000" w:rsidP="00000000" w:rsidRDefault="00000000" w:rsidRPr="00000000" w14:paraId="0000014B">
      <w:pPr>
        <w:spacing w:line="480" w:lineRule="auto"/>
        <w:ind w:left="0" w:firstLine="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14C">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Even there are some qualifications, having a war college corresponds with suffering fewer casualties during disputes, winning interstate wars, winning battles, and implementing the modern system of tactics. In other words, adopting the modern system of military thinking contributes to battlefield success. Military power can be learned.</w:t>
      </w:r>
    </w:p>
    <w:p w:rsidR="00000000" w:rsidDel="00000000" w:rsidP="00000000" w:rsidRDefault="00000000" w:rsidRPr="00000000" w14:paraId="0000014D">
      <w:pPr>
        <w:spacing w:after="200" w:before="200" w:line="480" w:lineRule="auto"/>
        <w:ind w:left="0" w:firstLine="0"/>
        <w:contextualSpacing w:val="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p w:rsidR="00000000" w:rsidDel="00000000" w:rsidP="00000000" w:rsidRDefault="00000000" w:rsidRPr="00000000" w14:paraId="0000014E">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Military education is correlated with military excellence and, ultimately, battlefield success. That said, further specification of regression models is necessary to flesh out the robustness of this result, in particular with respect to winning interstate wars and casualty rates during militarized interstate disputes. However, using one of the most widely-used data sets on military effectiveness, and one of the most completely specified statistical models, the inclusion of simple data on military schools suggests that military education has a significant impact on battlefield performance.</w:t>
      </w:r>
    </w:p>
    <w:p w:rsidR="00000000" w:rsidDel="00000000" w:rsidP="00000000" w:rsidRDefault="00000000" w:rsidRPr="00000000" w14:paraId="0000014F">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conclusion should give both scholars and policymakers pause when seeking to understand the sources of military power. Scholars should consider the softer, intellectual elements of battlefield effectiveness. Historical accounts already substantiate this education-effectiveness link for the American military,</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but this study shows that the positive effects of military education may actually obtain globally.</w:t>
      </w:r>
    </w:p>
    <w:p w:rsidR="00000000" w:rsidDel="00000000" w:rsidP="00000000" w:rsidRDefault="00000000" w:rsidRPr="00000000" w14:paraId="00000150">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Despite this, it is also worth examining how military schools teach officers the finer points of tactics, operations, and strategy. Not all countries teach their military officers the same way—there are in fact vast differences in post-Soviet and Western teaching styles—so further data collection is necessary to unpack which elements of military education produce battlefield effectiveness and which do not.</w:t>
      </w:r>
    </w:p>
    <w:p w:rsidR="00000000" w:rsidDel="00000000" w:rsidP="00000000" w:rsidRDefault="00000000" w:rsidRPr="00000000" w14:paraId="00000151">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policymakers, this study should provide clarity on the systemic utility of military education. The penchant for military organizations to devote so many resources to education, in other words, is probably a good thing. Of course, military education is not without its flaws, but the debate should be about how to improve military education, not about whether it is useful at all. If military schools around the world shared data on how they teach, what outcomes they expect, and what courses they emphasize, then it would be easier to generate a holistic understanding of when and how to improve military education to best meet the needs of national policy.</w:t>
      </w:r>
    </w:p>
    <w:p w:rsidR="00000000" w:rsidDel="00000000" w:rsidP="00000000" w:rsidRDefault="00000000" w:rsidRPr="00000000" w14:paraId="00000152">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study is only a starting point, but it provides a clear point of departure. Military organizations spend so many resources on officer education because it provides results where it counts: on the battlefield. It is up to scholars and policymakers to understand how and why this is the case. Learning military power is as much about education as it is about acquiring weapon systems and training soldiers how to fight.</w:t>
      </w:r>
      <w:r w:rsidDel="00000000" w:rsidR="00000000" w:rsidRPr="00000000">
        <w:br w:type="page"/>
      </w:r>
      <w:r w:rsidDel="00000000" w:rsidR="00000000" w:rsidRPr="00000000">
        <w:rPr>
          <w:rtl w:val="0"/>
        </w:rPr>
      </w:r>
    </w:p>
    <w:p w:rsidR="00000000" w:rsidDel="00000000" w:rsidP="00000000" w:rsidRDefault="00000000" w:rsidRPr="00000000" w14:paraId="00000153">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Bibliography</w:t>
      </w:r>
      <w:r w:rsidDel="00000000" w:rsidR="00000000" w:rsidRPr="00000000">
        <w:rPr>
          <w:rtl w:val="0"/>
        </w:rPr>
      </w:r>
    </w:p>
    <w:p w:rsidR="00000000" w:rsidDel="00000000" w:rsidP="00000000" w:rsidRDefault="00000000" w:rsidRPr="00000000" w14:paraId="00000154">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Anonymous (‘A. Puzzled Prof’). “The Collapse of NDU: A View from Inside.” </w:t>
      </w:r>
      <w:r w:rsidDel="00000000" w:rsidR="00000000" w:rsidRPr="00000000">
        <w:rPr>
          <w:rFonts w:ascii="Times New Roman" w:cs="Times New Roman" w:eastAsia="Times New Roman" w:hAnsi="Times New Roman"/>
          <w:i w:val="1"/>
          <w:sz w:val="24"/>
          <w:szCs w:val="24"/>
          <w:rtl w:val="0"/>
        </w:rPr>
        <w:t xml:space="preserve">Best Defense</w:t>
      </w:r>
      <w:r w:rsidDel="00000000" w:rsidR="00000000" w:rsidRPr="00000000">
        <w:rPr>
          <w:rFonts w:ascii="Times New Roman" w:cs="Times New Roman" w:eastAsia="Times New Roman" w:hAnsi="Times New Roman"/>
          <w:sz w:val="24"/>
          <w:szCs w:val="24"/>
          <w:rtl w:val="0"/>
        </w:rPr>
        <w:t xml:space="preserve"> (June 19, 2012). </w:t>
      </w:r>
      <w:hyperlink r:id="rId7">
        <w:r w:rsidDel="00000000" w:rsidR="00000000" w:rsidRPr="00000000">
          <w:rPr>
            <w:rFonts w:ascii="Times New Roman" w:cs="Times New Roman" w:eastAsia="Times New Roman" w:hAnsi="Times New Roman"/>
            <w:sz w:val="24"/>
            <w:szCs w:val="24"/>
            <w:rtl w:val="0"/>
          </w:rPr>
          <w:t xml:space="preserve">http://foreignpolicy.com/2012/06/19/the-collapse-of-ndu-a-view-from-inside/</w:t>
        </w:r>
      </w:hyperlink>
      <w:r w:rsidDel="00000000" w:rsidR="00000000" w:rsidRPr="00000000">
        <w:rPr>
          <w:rFonts w:ascii="Times New Roman" w:cs="Times New Roman" w:eastAsia="Times New Roman" w:hAnsi="Times New Roman"/>
          <w:sz w:val="24"/>
          <w:szCs w:val="24"/>
          <w:rtl w:val="0"/>
        </w:rPr>
        <w:t xml:space="preserve"> (accessed March 18, 2015).</w:t>
      </w:r>
    </w:p>
    <w:p w:rsidR="00000000" w:rsidDel="00000000" w:rsidP="00000000" w:rsidRDefault="00000000" w:rsidRPr="00000000" w14:paraId="00000155">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Anonymous (A French Soldier). “A French Soldier’s View of US Soldiers in Afghanistan.” </w:t>
      </w:r>
      <w:r w:rsidDel="00000000" w:rsidR="00000000" w:rsidRPr="00000000">
        <w:rPr>
          <w:rFonts w:ascii="Times New Roman" w:cs="Times New Roman" w:eastAsia="Times New Roman" w:hAnsi="Times New Roman"/>
          <w:i w:val="1"/>
          <w:sz w:val="24"/>
          <w:szCs w:val="24"/>
          <w:rtl w:val="0"/>
        </w:rPr>
        <w:t xml:space="preserve">Warrior Lodge</w:t>
      </w:r>
      <w:r w:rsidDel="00000000" w:rsidR="00000000" w:rsidRPr="00000000">
        <w:rPr>
          <w:rFonts w:ascii="Times New Roman" w:cs="Times New Roman" w:eastAsia="Times New Roman" w:hAnsi="Times New Roman"/>
          <w:sz w:val="24"/>
          <w:szCs w:val="24"/>
          <w:rtl w:val="0"/>
        </w:rPr>
        <w:t xml:space="preserve"> (December 15, 2014). </w:t>
      </w:r>
      <w:hyperlink r:id="rId8">
        <w:r w:rsidDel="00000000" w:rsidR="00000000" w:rsidRPr="00000000">
          <w:rPr>
            <w:rFonts w:ascii="Times New Roman" w:cs="Times New Roman" w:eastAsia="Times New Roman" w:hAnsi="Times New Roman"/>
            <w:sz w:val="24"/>
            <w:szCs w:val="24"/>
            <w:rtl w:val="0"/>
          </w:rPr>
          <w:t xml:space="preserve">http://www.warriorlodge.com/blogs/news/16298760-a-french-soldiers-view-of-us-soldiers-in-afghanistan</w:t>
        </w:r>
      </w:hyperlink>
      <w:r w:rsidDel="00000000" w:rsidR="00000000" w:rsidRPr="00000000">
        <w:rPr>
          <w:rFonts w:ascii="Times New Roman" w:cs="Times New Roman" w:eastAsia="Times New Roman" w:hAnsi="Times New Roman"/>
          <w:sz w:val="24"/>
          <w:szCs w:val="24"/>
          <w:rtl w:val="0"/>
        </w:rPr>
        <w:t xml:space="preserve"> (accessed April 12, 2015).</w:t>
      </w:r>
    </w:p>
    <w:p w:rsidR="00000000" w:rsidDel="00000000" w:rsidP="00000000" w:rsidRDefault="00000000" w:rsidRPr="00000000" w14:paraId="00000156">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Beckley, Michael. “Economic Development and Military Effectiveness.” </w:t>
      </w:r>
      <w:r w:rsidDel="00000000" w:rsidR="00000000" w:rsidRPr="00000000">
        <w:rPr>
          <w:rFonts w:ascii="Times New Roman" w:cs="Times New Roman" w:eastAsia="Times New Roman" w:hAnsi="Times New Roman"/>
          <w:i w:val="1"/>
          <w:sz w:val="24"/>
          <w:szCs w:val="24"/>
          <w:rtl w:val="0"/>
        </w:rPr>
        <w:t xml:space="preserve">Journal of Strategic Studies</w:t>
      </w:r>
      <w:r w:rsidDel="00000000" w:rsidR="00000000" w:rsidRPr="00000000">
        <w:rPr>
          <w:rFonts w:ascii="Times New Roman" w:cs="Times New Roman" w:eastAsia="Times New Roman" w:hAnsi="Times New Roman"/>
          <w:sz w:val="24"/>
          <w:szCs w:val="24"/>
          <w:rtl w:val="0"/>
        </w:rPr>
        <w:t xml:space="preserve"> 33, no. 1 (2010): 43–79.</w:t>
      </w:r>
    </w:p>
    <w:p w:rsidR="00000000" w:rsidDel="00000000" w:rsidP="00000000" w:rsidRDefault="00000000" w:rsidRPr="00000000" w14:paraId="00000157">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Biddle, Stephen, and Stephen Long. “Democracy and Military Effectiveness: A Deeper Look.” </w:t>
      </w:r>
      <w:r w:rsidDel="00000000" w:rsidR="00000000" w:rsidRPr="00000000">
        <w:rPr>
          <w:rFonts w:ascii="Times New Roman" w:cs="Times New Roman" w:eastAsia="Times New Roman" w:hAnsi="Times New Roman"/>
          <w:i w:val="1"/>
          <w:sz w:val="24"/>
          <w:szCs w:val="24"/>
          <w:highlight w:val="white"/>
          <w:rtl w:val="0"/>
        </w:rPr>
        <w:t xml:space="preserve">Journal of Conflict Resolution</w:t>
      </w:r>
      <w:r w:rsidDel="00000000" w:rsidR="00000000" w:rsidRPr="00000000">
        <w:rPr>
          <w:rFonts w:ascii="Times New Roman" w:cs="Times New Roman" w:eastAsia="Times New Roman" w:hAnsi="Times New Roman"/>
          <w:sz w:val="24"/>
          <w:szCs w:val="24"/>
          <w:highlight w:val="white"/>
          <w:rtl w:val="0"/>
        </w:rPr>
        <w:t xml:space="preserve"> 48, no. 4 (2004): 525-46.</w:t>
      </w:r>
    </w:p>
    <w:p w:rsidR="00000000" w:rsidDel="00000000" w:rsidP="00000000" w:rsidRDefault="00000000" w:rsidRPr="00000000" w14:paraId="00000158">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Biddle, Stephen. </w:t>
      </w:r>
      <w:r w:rsidDel="00000000" w:rsidR="00000000" w:rsidRPr="00000000">
        <w:rPr>
          <w:rFonts w:ascii="Times New Roman" w:cs="Times New Roman" w:eastAsia="Times New Roman" w:hAnsi="Times New Roman"/>
          <w:i w:val="1"/>
          <w:sz w:val="24"/>
          <w:szCs w:val="24"/>
          <w:rtl w:val="0"/>
        </w:rPr>
        <w:t xml:space="preserve">Military Power: Explaining Victory and Defeat in Modern Battle</w:t>
      </w:r>
      <w:r w:rsidDel="00000000" w:rsidR="00000000" w:rsidRPr="00000000">
        <w:rPr>
          <w:rFonts w:ascii="Times New Roman" w:cs="Times New Roman" w:eastAsia="Times New Roman" w:hAnsi="Times New Roman"/>
          <w:sz w:val="24"/>
          <w:szCs w:val="24"/>
          <w:rtl w:val="0"/>
        </w:rPr>
        <w:t xml:space="preserve">. Princeton, NJ: Princeton University Press, 2006.</w:t>
      </w:r>
    </w:p>
    <w:p w:rsidR="00000000" w:rsidDel="00000000" w:rsidP="00000000" w:rsidRDefault="00000000" w:rsidRPr="00000000" w14:paraId="00000159">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Brooks, Risa A. “Making Military Might: Why Do States Fail and Succeed?: A Review Essay.” </w:t>
      </w:r>
      <w:r w:rsidDel="00000000" w:rsidR="00000000" w:rsidRPr="00000000">
        <w:rPr>
          <w:rFonts w:ascii="Times New Roman" w:cs="Times New Roman" w:eastAsia="Times New Roman" w:hAnsi="Times New Roman"/>
          <w:i w:val="1"/>
          <w:sz w:val="24"/>
          <w:szCs w:val="24"/>
          <w:highlight w:val="white"/>
          <w:rtl w:val="0"/>
        </w:rPr>
        <w:t xml:space="preserve">International Security</w:t>
      </w:r>
      <w:r w:rsidDel="00000000" w:rsidR="00000000" w:rsidRPr="00000000">
        <w:rPr>
          <w:rFonts w:ascii="Times New Roman" w:cs="Times New Roman" w:eastAsia="Times New Roman" w:hAnsi="Times New Roman"/>
          <w:sz w:val="24"/>
          <w:szCs w:val="24"/>
          <w:highlight w:val="white"/>
          <w:rtl w:val="0"/>
        </w:rPr>
        <w:t xml:space="preserve"> 28, no. 2 (2003): 149-91.</w:t>
      </w:r>
    </w:p>
    <w:p w:rsidR="00000000" w:rsidDel="00000000" w:rsidP="00000000" w:rsidRDefault="00000000" w:rsidRPr="00000000" w14:paraId="0000015A">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Brown, Cameron S., Christopher J. Fariss, and R. Blake McMahon. “Recouping after Coup-Proofing: Compromised Military Effectiveness and Strategic Substitution.” </w:t>
      </w:r>
      <w:r w:rsidDel="00000000" w:rsidR="00000000" w:rsidRPr="00000000">
        <w:rPr>
          <w:rFonts w:ascii="Times New Roman" w:cs="Times New Roman" w:eastAsia="Times New Roman" w:hAnsi="Times New Roman"/>
          <w:i w:val="1"/>
          <w:sz w:val="24"/>
          <w:szCs w:val="24"/>
          <w:highlight w:val="white"/>
          <w:rtl w:val="0"/>
        </w:rPr>
        <w:t xml:space="preserve">International Interactions</w:t>
      </w:r>
      <w:r w:rsidDel="00000000" w:rsidR="00000000" w:rsidRPr="00000000">
        <w:rPr>
          <w:rFonts w:ascii="Times New Roman" w:cs="Times New Roman" w:eastAsia="Times New Roman" w:hAnsi="Times New Roman"/>
          <w:sz w:val="24"/>
          <w:szCs w:val="24"/>
          <w:highlight w:val="white"/>
          <w:rtl w:val="0"/>
        </w:rPr>
        <w:t xml:space="preserve"> 42, no. 1 (January 2016): 1-30.</w:t>
      </w:r>
    </w:p>
    <w:p w:rsidR="00000000" w:rsidDel="00000000" w:rsidP="00000000" w:rsidRDefault="00000000" w:rsidRPr="00000000" w14:paraId="0000015B">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Clausewitz, Carl von. </w:t>
      </w:r>
      <w:r w:rsidDel="00000000" w:rsidR="00000000" w:rsidRPr="00000000">
        <w:rPr>
          <w:rFonts w:ascii="Times New Roman" w:cs="Times New Roman" w:eastAsia="Times New Roman" w:hAnsi="Times New Roman"/>
          <w:i w:val="1"/>
          <w:sz w:val="24"/>
          <w:szCs w:val="24"/>
          <w:rtl w:val="0"/>
        </w:rPr>
        <w:t xml:space="preserve">On War</w:t>
      </w:r>
      <w:r w:rsidDel="00000000" w:rsidR="00000000" w:rsidRPr="00000000">
        <w:rPr>
          <w:rFonts w:ascii="Times New Roman" w:cs="Times New Roman" w:eastAsia="Times New Roman" w:hAnsi="Times New Roman"/>
          <w:sz w:val="24"/>
          <w:szCs w:val="24"/>
          <w:rtl w:val="0"/>
        </w:rPr>
        <w:t xml:space="preserve">. Princeton, NJ: Princeton University Press, 1976[1831].</w:t>
      </w:r>
    </w:p>
    <w:p w:rsidR="00000000" w:rsidDel="00000000" w:rsidP="00000000" w:rsidRDefault="00000000" w:rsidRPr="00000000" w14:paraId="0000015C">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Demarest, Geoff. </w:t>
      </w:r>
      <w:r w:rsidDel="00000000" w:rsidR="00000000" w:rsidRPr="00000000">
        <w:rPr>
          <w:rFonts w:ascii="Times New Roman" w:cs="Times New Roman" w:eastAsia="Times New Roman" w:hAnsi="Times New Roman"/>
          <w:i w:val="1"/>
          <w:sz w:val="24"/>
          <w:szCs w:val="24"/>
          <w:rtl w:val="0"/>
        </w:rPr>
        <w:t xml:space="preserve">Winning Insurgent War: Back to Basics</w:t>
      </w:r>
      <w:r w:rsidDel="00000000" w:rsidR="00000000" w:rsidRPr="00000000">
        <w:rPr>
          <w:rFonts w:ascii="Times New Roman" w:cs="Times New Roman" w:eastAsia="Times New Roman" w:hAnsi="Times New Roman"/>
          <w:sz w:val="24"/>
          <w:szCs w:val="24"/>
          <w:rtl w:val="0"/>
        </w:rPr>
        <w:t xml:space="preserve">. Ft. Leavenworth, KS: Foreign Military Studies Office, 2011.</w:t>
      </w:r>
    </w:p>
    <w:p w:rsidR="00000000" w:rsidDel="00000000" w:rsidP="00000000" w:rsidRDefault="00000000" w:rsidRPr="00000000" w14:paraId="0000015D">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Dempsey, Martin. “Joint Education White Paper.” Office of the Joint Chiefs of Staff (July 16, 2012). </w:t>
      </w:r>
      <w:hyperlink r:id="rId9">
        <w:r w:rsidDel="00000000" w:rsidR="00000000" w:rsidRPr="00000000">
          <w:rPr>
            <w:rFonts w:ascii="Times New Roman" w:cs="Times New Roman" w:eastAsia="Times New Roman" w:hAnsi="Times New Roman"/>
            <w:sz w:val="24"/>
            <w:szCs w:val="24"/>
            <w:rtl w:val="0"/>
          </w:rPr>
          <w:t xml:space="preserve">www.dtic.mil/doctrine/concepts/white_papers/cjcs_wp_education.pdf</w:t>
        </w:r>
      </w:hyperlink>
      <w:r w:rsidDel="00000000" w:rsidR="00000000" w:rsidRPr="00000000">
        <w:rPr>
          <w:rFonts w:ascii="Times New Roman" w:cs="Times New Roman" w:eastAsia="Times New Roman" w:hAnsi="Times New Roman"/>
          <w:sz w:val="24"/>
          <w:szCs w:val="24"/>
          <w:rtl w:val="0"/>
        </w:rPr>
        <w:t xml:space="preserve"> (accessed March 18, 2015).</w:t>
      </w:r>
    </w:p>
    <w:p w:rsidR="00000000" w:rsidDel="00000000" w:rsidP="00000000" w:rsidRDefault="00000000" w:rsidRPr="00000000" w14:paraId="0000015E">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Desch, Michael C. </w:t>
      </w:r>
      <w:r w:rsidDel="00000000" w:rsidR="00000000" w:rsidRPr="00000000">
        <w:rPr>
          <w:rFonts w:ascii="Times New Roman" w:cs="Times New Roman" w:eastAsia="Times New Roman" w:hAnsi="Times New Roman"/>
          <w:i w:val="1"/>
          <w:sz w:val="24"/>
          <w:szCs w:val="24"/>
          <w:rtl w:val="0"/>
        </w:rPr>
        <w:t xml:space="preserve">Civilian Control of the Military</w:t>
      </w:r>
      <w:r w:rsidDel="00000000" w:rsidR="00000000" w:rsidRPr="00000000">
        <w:rPr>
          <w:rFonts w:ascii="Times New Roman" w:cs="Times New Roman" w:eastAsia="Times New Roman" w:hAnsi="Times New Roman"/>
          <w:sz w:val="24"/>
          <w:szCs w:val="24"/>
          <w:rtl w:val="0"/>
        </w:rPr>
        <w:t xml:space="preserve">. Baltimore, MD: Johns Hopkins University Press, 1999.</w:t>
      </w:r>
    </w:p>
    <w:p w:rsidR="00000000" w:rsidDel="00000000" w:rsidP="00000000" w:rsidRDefault="00000000" w:rsidRPr="00000000" w14:paraId="0000015F">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“Democracy and Victory: Why Regime Type Hardly Matters.” </w:t>
      </w:r>
      <w:r w:rsidDel="00000000" w:rsidR="00000000" w:rsidRPr="00000000">
        <w:rPr>
          <w:rFonts w:ascii="Times New Roman" w:cs="Times New Roman" w:eastAsia="Times New Roman" w:hAnsi="Times New Roman"/>
          <w:i w:val="1"/>
          <w:sz w:val="24"/>
          <w:szCs w:val="24"/>
          <w:highlight w:val="white"/>
          <w:rtl w:val="0"/>
        </w:rPr>
        <w:t xml:space="preserve">International Security</w:t>
      </w:r>
      <w:r w:rsidDel="00000000" w:rsidR="00000000" w:rsidRPr="00000000">
        <w:rPr>
          <w:rFonts w:ascii="Times New Roman" w:cs="Times New Roman" w:eastAsia="Times New Roman" w:hAnsi="Times New Roman"/>
          <w:sz w:val="24"/>
          <w:szCs w:val="24"/>
          <w:highlight w:val="white"/>
          <w:rtl w:val="0"/>
        </w:rPr>
        <w:t xml:space="preserve"> 27, no. 2 (2002): 5-47.</w:t>
      </w:r>
    </w:p>
    <w:p w:rsidR="00000000" w:rsidDel="00000000" w:rsidP="00000000" w:rsidRDefault="00000000" w:rsidRPr="00000000" w14:paraId="00000160">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w:t>
      </w:r>
      <w:r w:rsidDel="00000000" w:rsidR="00000000" w:rsidRPr="00000000">
        <w:rPr>
          <w:rFonts w:ascii="Times New Roman" w:cs="Times New Roman" w:eastAsia="Times New Roman" w:hAnsi="Times New Roman"/>
          <w:i w:val="1"/>
          <w:sz w:val="24"/>
          <w:szCs w:val="24"/>
          <w:highlight w:val="white"/>
          <w:rtl w:val="0"/>
        </w:rPr>
        <w:t xml:space="preserve">Power and Military Effectiveness: The Fallacy of Democratic Triumphalism</w:t>
      </w:r>
      <w:r w:rsidDel="00000000" w:rsidR="00000000" w:rsidRPr="00000000">
        <w:rPr>
          <w:rFonts w:ascii="Times New Roman" w:cs="Times New Roman" w:eastAsia="Times New Roman" w:hAnsi="Times New Roman"/>
          <w:sz w:val="24"/>
          <w:szCs w:val="24"/>
          <w:highlight w:val="white"/>
          <w:rtl w:val="0"/>
        </w:rPr>
        <w:t xml:space="preserve">. Baltimore, MD: Johns Hopkins University Press, 2010.Millett, Allan R., Williamson Murray, and Kenneth H. Watman. "The Effectiveness of Military Organizations." </w:t>
      </w:r>
      <w:r w:rsidDel="00000000" w:rsidR="00000000" w:rsidRPr="00000000">
        <w:rPr>
          <w:rFonts w:ascii="Times New Roman" w:cs="Times New Roman" w:eastAsia="Times New Roman" w:hAnsi="Times New Roman"/>
          <w:i w:val="1"/>
          <w:sz w:val="24"/>
          <w:szCs w:val="24"/>
          <w:highlight w:val="white"/>
          <w:rtl w:val="0"/>
        </w:rPr>
        <w:t xml:space="preserve">International Security</w:t>
      </w:r>
      <w:r w:rsidDel="00000000" w:rsidR="00000000" w:rsidRPr="00000000">
        <w:rPr>
          <w:rFonts w:ascii="Times New Roman" w:cs="Times New Roman" w:eastAsia="Times New Roman" w:hAnsi="Times New Roman"/>
          <w:sz w:val="24"/>
          <w:szCs w:val="24"/>
          <w:highlight w:val="white"/>
          <w:rtl w:val="0"/>
        </w:rPr>
        <w:t xml:space="preserve"> 11, no. 1 (1986): 37-71.</w:t>
      </w:r>
    </w:p>
    <w:p w:rsidR="00000000" w:rsidDel="00000000" w:rsidP="00000000" w:rsidRDefault="00000000" w:rsidRPr="00000000" w14:paraId="00000161">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Galula, David. </w:t>
      </w:r>
      <w:r w:rsidDel="00000000" w:rsidR="00000000" w:rsidRPr="00000000">
        <w:rPr>
          <w:rFonts w:ascii="Times New Roman" w:cs="Times New Roman" w:eastAsia="Times New Roman" w:hAnsi="Times New Roman"/>
          <w:i w:val="1"/>
          <w:sz w:val="24"/>
          <w:szCs w:val="24"/>
          <w:highlight w:val="white"/>
          <w:rtl w:val="0"/>
        </w:rPr>
        <w:t xml:space="preserve">Counterinsurgency Warfare: Theory and Practice</w:t>
      </w:r>
      <w:r w:rsidDel="00000000" w:rsidR="00000000" w:rsidRPr="00000000">
        <w:rPr>
          <w:rFonts w:ascii="Times New Roman" w:cs="Times New Roman" w:eastAsia="Times New Roman" w:hAnsi="Times New Roman"/>
          <w:sz w:val="24"/>
          <w:szCs w:val="24"/>
          <w:highlight w:val="white"/>
          <w:rtl w:val="0"/>
        </w:rPr>
        <w:t xml:space="preserve">. New York, NY: Greenwood Publishing Group, 2006.</w:t>
      </w:r>
      <w:r w:rsidDel="00000000" w:rsidR="00000000" w:rsidRPr="00000000">
        <w:rPr>
          <w:rtl w:val="0"/>
        </w:rPr>
      </w:r>
    </w:p>
    <w:p w:rsidR="00000000" w:rsidDel="00000000" w:rsidP="00000000" w:rsidRDefault="00000000" w:rsidRPr="00000000" w14:paraId="00000162">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Gartzke, Erik. "The Capitalist Peace." </w:t>
      </w:r>
      <w:r w:rsidDel="00000000" w:rsidR="00000000" w:rsidRPr="00000000">
        <w:rPr>
          <w:rFonts w:ascii="Times New Roman" w:cs="Times New Roman" w:eastAsia="Times New Roman" w:hAnsi="Times New Roman"/>
          <w:i w:val="1"/>
          <w:sz w:val="24"/>
          <w:szCs w:val="24"/>
          <w:highlight w:val="white"/>
          <w:rtl w:val="0"/>
        </w:rPr>
        <w:t xml:space="preserve">American Journal of Political Science </w:t>
      </w:r>
      <w:r w:rsidDel="00000000" w:rsidR="00000000" w:rsidRPr="00000000">
        <w:rPr>
          <w:rFonts w:ascii="Times New Roman" w:cs="Times New Roman" w:eastAsia="Times New Roman" w:hAnsi="Times New Roman"/>
          <w:sz w:val="24"/>
          <w:szCs w:val="24"/>
          <w:highlight w:val="white"/>
          <w:rtl w:val="0"/>
        </w:rPr>
        <w:t xml:space="preserve">51, no. 1 (2007): 166-91.</w:t>
      </w:r>
      <w:r w:rsidDel="00000000" w:rsidR="00000000" w:rsidRPr="00000000">
        <w:rPr>
          <w:rtl w:val="0"/>
        </w:rPr>
      </w:r>
    </w:p>
    <w:p w:rsidR="00000000" w:rsidDel="00000000" w:rsidP="00000000" w:rsidRDefault="00000000" w:rsidRPr="00000000" w14:paraId="00000163">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GlobalSecurity.org. “REFORGER.” </w:t>
      </w:r>
      <w:hyperlink r:id="rId10">
        <w:r w:rsidDel="00000000" w:rsidR="00000000" w:rsidRPr="00000000">
          <w:rPr>
            <w:rFonts w:ascii="Times New Roman" w:cs="Times New Roman" w:eastAsia="Times New Roman" w:hAnsi="Times New Roman"/>
            <w:sz w:val="24"/>
            <w:szCs w:val="24"/>
            <w:rtl w:val="0"/>
          </w:rPr>
          <w:t xml:space="preserve">http://www.globalsecurity.org/military/ops/reforger.htm</w:t>
        </w:r>
      </w:hyperlink>
      <w:r w:rsidDel="00000000" w:rsidR="00000000" w:rsidRPr="00000000">
        <w:rPr>
          <w:rFonts w:ascii="Times New Roman" w:cs="Times New Roman" w:eastAsia="Times New Roman" w:hAnsi="Times New Roman"/>
          <w:sz w:val="24"/>
          <w:szCs w:val="24"/>
          <w:rtl w:val="0"/>
        </w:rPr>
        <w:t xml:space="preserve"> (accessed April 12, 2015).</w:t>
      </w:r>
      <w:r w:rsidDel="00000000" w:rsidR="00000000" w:rsidRPr="00000000">
        <w:rPr>
          <w:rtl w:val="0"/>
        </w:rPr>
      </w:r>
    </w:p>
    <w:p w:rsidR="00000000" w:rsidDel="00000000" w:rsidP="00000000" w:rsidRDefault="00000000" w:rsidRPr="00000000" w14:paraId="00000164">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Grauer, Ryan, and Michael C. Horowitz. “What Determines Military Victory? Testing the Modern System.” </w:t>
      </w:r>
      <w:r w:rsidDel="00000000" w:rsidR="00000000" w:rsidRPr="00000000">
        <w:rPr>
          <w:rFonts w:ascii="Times New Roman" w:cs="Times New Roman" w:eastAsia="Times New Roman" w:hAnsi="Times New Roman"/>
          <w:i w:val="1"/>
          <w:sz w:val="24"/>
          <w:szCs w:val="24"/>
          <w:highlight w:val="white"/>
          <w:rtl w:val="0"/>
        </w:rPr>
        <w:t xml:space="preserve">Security Studies</w:t>
      </w:r>
      <w:r w:rsidDel="00000000" w:rsidR="00000000" w:rsidRPr="00000000">
        <w:rPr>
          <w:rFonts w:ascii="Times New Roman" w:cs="Times New Roman" w:eastAsia="Times New Roman" w:hAnsi="Times New Roman"/>
          <w:sz w:val="24"/>
          <w:szCs w:val="24"/>
          <w:highlight w:val="white"/>
          <w:rtl w:val="0"/>
        </w:rPr>
        <w:t xml:space="preserve"> 21, no. 1 (2012): 83-112.</w:t>
      </w:r>
    </w:p>
    <w:p w:rsidR="00000000" w:rsidDel="00000000" w:rsidP="00000000" w:rsidRDefault="00000000" w:rsidRPr="00000000" w14:paraId="00000165">
      <w:pPr>
        <w:spacing w:line="480" w:lineRule="auto"/>
        <w:ind w:left="810"/>
        <w:contextualSpacing w:val="0"/>
        <w:rPr>
          <w:rFonts w:ascii="Times New Roman" w:cs="Times New Roman" w:eastAsia="Times New Roman" w:hAnsi="Times New Roman"/>
          <w:color w:val="222222"/>
          <w:sz w:val="24"/>
          <w:szCs w:val="24"/>
          <w:highlight w:val="white"/>
        </w:rPr>
      </w:pPr>
      <w:r w:rsidDel="00000000" w:rsidR="00000000" w:rsidRPr="00000000">
        <w:rPr>
          <w:rFonts w:ascii="Times New Roman" w:cs="Times New Roman" w:eastAsia="Times New Roman" w:hAnsi="Times New Roman"/>
          <w:color w:val="222222"/>
          <w:sz w:val="24"/>
          <w:szCs w:val="24"/>
          <w:highlight w:val="white"/>
          <w:rtl w:val="0"/>
        </w:rPr>
        <w:t xml:space="preserve">Grauer, Ryan D. </w:t>
      </w:r>
      <w:r w:rsidDel="00000000" w:rsidR="00000000" w:rsidRPr="00000000">
        <w:rPr>
          <w:rFonts w:ascii="Times New Roman" w:cs="Times New Roman" w:eastAsia="Times New Roman" w:hAnsi="Times New Roman"/>
          <w:i w:val="1"/>
          <w:color w:val="222222"/>
          <w:sz w:val="24"/>
          <w:szCs w:val="24"/>
          <w:highlight w:val="white"/>
          <w:rtl w:val="0"/>
        </w:rPr>
        <w:t xml:space="preserve">Commanding Military Power</w:t>
      </w:r>
      <w:r w:rsidDel="00000000" w:rsidR="00000000" w:rsidRPr="00000000">
        <w:rPr>
          <w:rFonts w:ascii="Times New Roman" w:cs="Times New Roman" w:eastAsia="Times New Roman" w:hAnsi="Times New Roman"/>
          <w:color w:val="222222"/>
          <w:sz w:val="24"/>
          <w:szCs w:val="24"/>
          <w:highlight w:val="white"/>
          <w:rtl w:val="0"/>
        </w:rPr>
        <w:t xml:space="preserve">. Cambridge, UK: Cambridge University Press, 2016.</w:t>
      </w:r>
    </w:p>
    <w:p w:rsidR="00000000" w:rsidDel="00000000" w:rsidP="00000000" w:rsidRDefault="00000000" w:rsidRPr="00000000" w14:paraId="00000166">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Huntington, Samuel P. </w:t>
      </w:r>
      <w:r w:rsidDel="00000000" w:rsidR="00000000" w:rsidRPr="00000000">
        <w:rPr>
          <w:rFonts w:ascii="Times New Roman" w:cs="Times New Roman" w:eastAsia="Times New Roman" w:hAnsi="Times New Roman"/>
          <w:i w:val="1"/>
          <w:sz w:val="24"/>
          <w:szCs w:val="24"/>
          <w:rtl w:val="0"/>
        </w:rPr>
        <w:t xml:space="preserve">The Soldier and the State: The Theory and Politics of Civil-Military Relations</w:t>
      </w:r>
      <w:r w:rsidDel="00000000" w:rsidR="00000000" w:rsidRPr="00000000">
        <w:rPr>
          <w:rFonts w:ascii="Times New Roman" w:cs="Times New Roman" w:eastAsia="Times New Roman" w:hAnsi="Times New Roman"/>
          <w:sz w:val="24"/>
          <w:szCs w:val="24"/>
          <w:rtl w:val="0"/>
        </w:rPr>
        <w:t xml:space="preserve">. Cambridge, MA: Harvard University Press, 1957.</w:t>
      </w:r>
    </w:p>
    <w:p w:rsidR="00000000" w:rsidDel="00000000" w:rsidP="00000000" w:rsidRDefault="00000000" w:rsidRPr="00000000" w14:paraId="00000167">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Keegan, John, ed. </w:t>
      </w:r>
      <w:r w:rsidDel="00000000" w:rsidR="00000000" w:rsidRPr="00000000">
        <w:rPr>
          <w:rFonts w:ascii="Times New Roman" w:cs="Times New Roman" w:eastAsia="Times New Roman" w:hAnsi="Times New Roman"/>
          <w:i w:val="1"/>
          <w:sz w:val="24"/>
          <w:szCs w:val="24"/>
          <w:rtl w:val="0"/>
        </w:rPr>
        <w:t xml:space="preserve">World Armies</w:t>
      </w:r>
      <w:r w:rsidDel="00000000" w:rsidR="00000000" w:rsidRPr="00000000">
        <w:rPr>
          <w:rFonts w:ascii="Times New Roman" w:cs="Times New Roman" w:eastAsia="Times New Roman" w:hAnsi="Times New Roman"/>
          <w:sz w:val="24"/>
          <w:szCs w:val="24"/>
          <w:rtl w:val="0"/>
        </w:rPr>
        <w:t xml:space="preserve">, 2nd ed. Detroit, MI: Gale Research Company, 1983.</w:t>
      </w:r>
    </w:p>
    <w:p w:rsidR="00000000" w:rsidDel="00000000" w:rsidP="00000000" w:rsidRDefault="00000000" w:rsidRPr="00000000" w14:paraId="00000168">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Kelley, Kevin P., and Joan Johnson-Freese. “Rethinking Professional Military Education.” </w:t>
      </w:r>
      <w:r w:rsidDel="00000000" w:rsidR="00000000" w:rsidRPr="00000000">
        <w:rPr>
          <w:rFonts w:ascii="Times New Roman" w:cs="Times New Roman" w:eastAsia="Times New Roman" w:hAnsi="Times New Roman"/>
          <w:i w:val="1"/>
          <w:sz w:val="24"/>
          <w:szCs w:val="24"/>
          <w:rtl w:val="0"/>
        </w:rPr>
        <w:t xml:space="preserve">E-Notes</w:t>
      </w:r>
      <w:r w:rsidDel="00000000" w:rsidR="00000000" w:rsidRPr="00000000">
        <w:rPr>
          <w:rFonts w:ascii="Times New Roman" w:cs="Times New Roman" w:eastAsia="Times New Roman" w:hAnsi="Times New Roman"/>
          <w:sz w:val="24"/>
          <w:szCs w:val="24"/>
          <w:rtl w:val="0"/>
        </w:rPr>
        <w:t xml:space="preserve">, Foreign Policy Research Institute (October 25, 2013).  </w:t>
      </w:r>
      <w:hyperlink r:id="rId11">
        <w:r w:rsidDel="00000000" w:rsidR="00000000" w:rsidRPr="00000000">
          <w:rPr>
            <w:rFonts w:ascii="Times New Roman" w:cs="Times New Roman" w:eastAsia="Times New Roman" w:hAnsi="Times New Roman"/>
            <w:sz w:val="24"/>
            <w:szCs w:val="24"/>
            <w:rtl w:val="0"/>
          </w:rPr>
          <w:t xml:space="preserve">http://www.fpri.org/articles/2013/10/rethinking-professional-military-education</w:t>
        </w:r>
      </w:hyperlink>
      <w:r w:rsidDel="00000000" w:rsidR="00000000" w:rsidRPr="00000000">
        <w:rPr>
          <w:rFonts w:ascii="Times New Roman" w:cs="Times New Roman" w:eastAsia="Times New Roman" w:hAnsi="Times New Roman"/>
          <w:sz w:val="24"/>
          <w:szCs w:val="24"/>
          <w:rtl w:val="0"/>
        </w:rPr>
        <w:t xml:space="preserve"> (Accessed March 18, 2015).</w:t>
      </w:r>
    </w:p>
    <w:p w:rsidR="00000000" w:rsidDel="00000000" w:rsidP="00000000" w:rsidRDefault="00000000" w:rsidRPr="00000000" w14:paraId="00000169">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Kilcullen, David. </w:t>
      </w:r>
      <w:r w:rsidDel="00000000" w:rsidR="00000000" w:rsidRPr="00000000">
        <w:rPr>
          <w:rFonts w:ascii="Times New Roman" w:cs="Times New Roman" w:eastAsia="Times New Roman" w:hAnsi="Times New Roman"/>
          <w:i w:val="1"/>
          <w:sz w:val="24"/>
          <w:szCs w:val="24"/>
          <w:highlight w:val="white"/>
          <w:rtl w:val="0"/>
        </w:rPr>
        <w:t xml:space="preserve">The Accidental Guerrilla: Fighting Small Wars in the Midst of a Big One</w:t>
      </w:r>
      <w:r w:rsidDel="00000000" w:rsidR="00000000" w:rsidRPr="00000000">
        <w:rPr>
          <w:rFonts w:ascii="Times New Roman" w:cs="Times New Roman" w:eastAsia="Times New Roman" w:hAnsi="Times New Roman"/>
          <w:sz w:val="24"/>
          <w:szCs w:val="24"/>
          <w:highlight w:val="white"/>
          <w:rtl w:val="0"/>
        </w:rPr>
        <w:t xml:space="preserve">. Oxford: Oxford University Press, 2009.</w:t>
      </w:r>
    </w:p>
    <w:p w:rsidR="00000000" w:rsidDel="00000000" w:rsidP="00000000" w:rsidRDefault="00000000" w:rsidRPr="00000000" w14:paraId="0000016A">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King, Gary, Michael Tomz, and Jason Wittenberg. “Making the Most of Statistical Analyses: Improving Interpretation and Presentation.” </w:t>
      </w:r>
      <w:r w:rsidDel="00000000" w:rsidR="00000000" w:rsidRPr="00000000">
        <w:rPr>
          <w:rFonts w:ascii="Times New Roman" w:cs="Times New Roman" w:eastAsia="Times New Roman" w:hAnsi="Times New Roman"/>
          <w:i w:val="1"/>
          <w:sz w:val="24"/>
          <w:szCs w:val="24"/>
          <w:highlight w:val="white"/>
          <w:rtl w:val="0"/>
        </w:rPr>
        <w:t xml:space="preserve">American Journal of Political Science</w:t>
      </w:r>
      <w:r w:rsidDel="00000000" w:rsidR="00000000" w:rsidRPr="00000000">
        <w:rPr>
          <w:rFonts w:ascii="Times New Roman" w:cs="Times New Roman" w:eastAsia="Times New Roman" w:hAnsi="Times New Roman"/>
          <w:sz w:val="24"/>
          <w:szCs w:val="24"/>
          <w:highlight w:val="white"/>
          <w:rtl w:val="0"/>
        </w:rPr>
        <w:t xml:space="preserve"> 44, no. 2 (April 2000): 347-61.</w:t>
      </w:r>
    </w:p>
    <w:p w:rsidR="00000000" w:rsidDel="00000000" w:rsidP="00000000" w:rsidRDefault="00000000" w:rsidRPr="00000000" w14:paraId="0000016B">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Lamb, Christopher J., and Brittany Porro. “Next Steps for Transforming Education at National Defense University.” </w:t>
      </w:r>
      <w:r w:rsidDel="00000000" w:rsidR="00000000" w:rsidRPr="00000000">
        <w:rPr>
          <w:rFonts w:ascii="Times New Roman" w:cs="Times New Roman" w:eastAsia="Times New Roman" w:hAnsi="Times New Roman"/>
          <w:i w:val="1"/>
          <w:sz w:val="24"/>
          <w:szCs w:val="24"/>
          <w:rtl w:val="0"/>
        </w:rPr>
        <w:t xml:space="preserve">Joint Force Quarterly</w:t>
      </w:r>
      <w:r w:rsidDel="00000000" w:rsidR="00000000" w:rsidRPr="00000000">
        <w:rPr>
          <w:rFonts w:ascii="Times New Roman" w:cs="Times New Roman" w:eastAsia="Times New Roman" w:hAnsi="Times New Roman"/>
          <w:sz w:val="24"/>
          <w:szCs w:val="24"/>
          <w:rtl w:val="0"/>
        </w:rPr>
        <w:t xml:space="preserve"> 76 (1st Quarter 2015): 40–47.</w:t>
      </w:r>
    </w:p>
    <w:p w:rsidR="00000000" w:rsidDel="00000000" w:rsidP="00000000" w:rsidRDefault="00000000" w:rsidRPr="00000000" w14:paraId="0000016C">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Losey, Stephen. “Red Flag Training Exercise to Begin at Nellis Monday.” </w:t>
      </w:r>
      <w:r w:rsidDel="00000000" w:rsidR="00000000" w:rsidRPr="00000000">
        <w:rPr>
          <w:rFonts w:ascii="Times New Roman" w:cs="Times New Roman" w:eastAsia="Times New Roman" w:hAnsi="Times New Roman"/>
          <w:i w:val="1"/>
          <w:sz w:val="24"/>
          <w:szCs w:val="24"/>
          <w:rtl w:val="0"/>
        </w:rPr>
        <w:t xml:space="preserve">Air Force Times</w:t>
      </w:r>
      <w:r w:rsidDel="00000000" w:rsidR="00000000" w:rsidRPr="00000000">
        <w:rPr>
          <w:rFonts w:ascii="Times New Roman" w:cs="Times New Roman" w:eastAsia="Times New Roman" w:hAnsi="Times New Roman"/>
          <w:sz w:val="24"/>
          <w:szCs w:val="24"/>
          <w:rtl w:val="0"/>
        </w:rPr>
        <w:t xml:space="preserve"> (January 24, 2015). </w:t>
      </w:r>
      <w:hyperlink r:id="rId12">
        <w:r w:rsidDel="00000000" w:rsidR="00000000" w:rsidRPr="00000000">
          <w:rPr>
            <w:rFonts w:ascii="Times New Roman" w:cs="Times New Roman" w:eastAsia="Times New Roman" w:hAnsi="Times New Roman"/>
            <w:sz w:val="24"/>
            <w:szCs w:val="24"/>
            <w:rtl w:val="0"/>
          </w:rPr>
          <w:t xml:space="preserve">http://www.airforcetimes.com/story/military/tech/2015/01/24/red-flag-training-exercise-to-begin-at-nellis-monday/22222799/</w:t>
        </w:r>
      </w:hyperlink>
      <w:r w:rsidDel="00000000" w:rsidR="00000000" w:rsidRPr="00000000">
        <w:rPr>
          <w:rFonts w:ascii="Times New Roman" w:cs="Times New Roman" w:eastAsia="Times New Roman" w:hAnsi="Times New Roman"/>
          <w:sz w:val="24"/>
          <w:szCs w:val="24"/>
          <w:rtl w:val="0"/>
        </w:rPr>
        <w:t xml:space="preserve"> (accessed April 14, 2015).</w:t>
      </w:r>
    </w:p>
    <w:p w:rsidR="00000000" w:rsidDel="00000000" w:rsidP="00000000" w:rsidRDefault="00000000" w:rsidRPr="00000000" w14:paraId="0000016D">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Matheny, Michael R. </w:t>
      </w:r>
      <w:r w:rsidDel="00000000" w:rsidR="00000000" w:rsidRPr="00000000">
        <w:rPr>
          <w:rFonts w:ascii="Times New Roman" w:cs="Times New Roman" w:eastAsia="Times New Roman" w:hAnsi="Times New Roman"/>
          <w:i w:val="1"/>
          <w:sz w:val="24"/>
          <w:szCs w:val="24"/>
          <w:rtl w:val="0"/>
        </w:rPr>
        <w:t xml:space="preserve">Carrying the War to the Enemy: American Operational Art to 1945</w:t>
      </w:r>
      <w:r w:rsidDel="00000000" w:rsidR="00000000" w:rsidRPr="00000000">
        <w:rPr>
          <w:rFonts w:ascii="Times New Roman" w:cs="Times New Roman" w:eastAsia="Times New Roman" w:hAnsi="Times New Roman"/>
          <w:sz w:val="24"/>
          <w:szCs w:val="24"/>
          <w:rtl w:val="0"/>
        </w:rPr>
        <w:t xml:space="preserve">. Norman, OK: University of Oklahoma Press, 2011.</w:t>
      </w:r>
    </w:p>
    <w:p w:rsidR="00000000" w:rsidDel="00000000" w:rsidP="00000000" w:rsidRDefault="00000000" w:rsidRPr="00000000" w14:paraId="0000016E">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McGivern, R. Mark. “What the Hell Is Happening at NDU? (III).” </w:t>
      </w:r>
      <w:r w:rsidDel="00000000" w:rsidR="00000000" w:rsidRPr="00000000">
        <w:rPr>
          <w:rFonts w:ascii="Times New Roman" w:cs="Times New Roman" w:eastAsia="Times New Roman" w:hAnsi="Times New Roman"/>
          <w:i w:val="1"/>
          <w:sz w:val="24"/>
          <w:szCs w:val="24"/>
          <w:rtl w:val="0"/>
        </w:rPr>
        <w:t xml:space="preserve">Best Defense</w:t>
      </w:r>
      <w:r w:rsidDel="00000000" w:rsidR="00000000" w:rsidRPr="00000000">
        <w:rPr>
          <w:rFonts w:ascii="Times New Roman" w:cs="Times New Roman" w:eastAsia="Times New Roman" w:hAnsi="Times New Roman"/>
          <w:sz w:val="24"/>
          <w:szCs w:val="24"/>
          <w:rtl w:val="0"/>
        </w:rPr>
        <w:t xml:space="preserve"> (September 8, 2014). </w:t>
      </w:r>
      <w:hyperlink r:id="rId13">
        <w:r w:rsidDel="00000000" w:rsidR="00000000" w:rsidRPr="00000000">
          <w:rPr>
            <w:rFonts w:ascii="Times New Roman" w:cs="Times New Roman" w:eastAsia="Times New Roman" w:hAnsi="Times New Roman"/>
            <w:sz w:val="24"/>
            <w:szCs w:val="24"/>
            <w:rtl w:val="0"/>
          </w:rPr>
          <w:t xml:space="preserve">http://foreignpolicy.com/2014/09/08/what-the-hell-is-happening-at-ndu-iii/</w:t>
        </w:r>
      </w:hyperlink>
      <w:r w:rsidDel="00000000" w:rsidR="00000000" w:rsidRPr="00000000">
        <w:rPr>
          <w:rFonts w:ascii="Times New Roman" w:cs="Times New Roman" w:eastAsia="Times New Roman" w:hAnsi="Times New Roman"/>
          <w:sz w:val="24"/>
          <w:szCs w:val="24"/>
          <w:rtl w:val="0"/>
        </w:rPr>
        <w:t xml:space="preserve"> (accessed March 18, 2015).</w:t>
      </w:r>
    </w:p>
    <w:p w:rsidR="00000000" w:rsidDel="00000000" w:rsidP="00000000" w:rsidRDefault="00000000" w:rsidRPr="00000000" w14:paraId="0000016F">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Metz, Steven. “Strategic Horizons: U.S. Professional Military Education on the Chopping Block.” </w:t>
      </w:r>
      <w:r w:rsidDel="00000000" w:rsidR="00000000" w:rsidRPr="00000000">
        <w:rPr>
          <w:rFonts w:ascii="Times New Roman" w:cs="Times New Roman" w:eastAsia="Times New Roman" w:hAnsi="Times New Roman"/>
          <w:i w:val="1"/>
          <w:sz w:val="24"/>
          <w:szCs w:val="24"/>
          <w:rtl w:val="0"/>
        </w:rPr>
        <w:t xml:space="preserve">World Politics Review</w:t>
      </w:r>
      <w:r w:rsidDel="00000000" w:rsidR="00000000" w:rsidRPr="00000000">
        <w:rPr>
          <w:rFonts w:ascii="Times New Roman" w:cs="Times New Roman" w:eastAsia="Times New Roman" w:hAnsi="Times New Roman"/>
          <w:sz w:val="24"/>
          <w:szCs w:val="24"/>
          <w:rtl w:val="0"/>
        </w:rPr>
        <w:t xml:space="preserve"> (April 17, 2013). </w:t>
      </w:r>
      <w:hyperlink r:id="rId14">
        <w:r w:rsidDel="00000000" w:rsidR="00000000" w:rsidRPr="00000000">
          <w:rPr>
            <w:rFonts w:ascii="Times New Roman" w:cs="Times New Roman" w:eastAsia="Times New Roman" w:hAnsi="Times New Roman"/>
            <w:sz w:val="24"/>
            <w:szCs w:val="24"/>
            <w:rtl w:val="0"/>
          </w:rPr>
          <w:t xml:space="preserve">http://www.ndu.edu/Portals/59/Documents/BOV_Documents/2013/Metz—US%20PME%20on%20the%20Chopping%20Block.pdf</w:t>
        </w:r>
      </w:hyperlink>
      <w:r w:rsidDel="00000000" w:rsidR="00000000" w:rsidRPr="00000000">
        <w:rPr>
          <w:rFonts w:ascii="Times New Roman" w:cs="Times New Roman" w:eastAsia="Times New Roman" w:hAnsi="Times New Roman"/>
          <w:sz w:val="24"/>
          <w:szCs w:val="24"/>
          <w:rtl w:val="0"/>
        </w:rPr>
        <w:t xml:space="preserve"> (accessed March 18, 2015).</w:t>
      </w:r>
    </w:p>
    <w:p w:rsidR="00000000" w:rsidDel="00000000" w:rsidP="00000000" w:rsidRDefault="00000000" w:rsidRPr="00000000" w14:paraId="00000170">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Nagl, John. </w:t>
      </w:r>
      <w:r w:rsidDel="00000000" w:rsidR="00000000" w:rsidRPr="00000000">
        <w:rPr>
          <w:rFonts w:ascii="Times New Roman" w:cs="Times New Roman" w:eastAsia="Times New Roman" w:hAnsi="Times New Roman"/>
          <w:i w:val="1"/>
          <w:sz w:val="24"/>
          <w:szCs w:val="24"/>
          <w:rtl w:val="0"/>
        </w:rPr>
        <w:t xml:space="preserve">Learning to Eat Soup with a Knife: Counterinsurgency Lessons from Malaya and Vietnam</w:t>
      </w:r>
      <w:r w:rsidDel="00000000" w:rsidR="00000000" w:rsidRPr="00000000">
        <w:rPr>
          <w:rFonts w:ascii="Times New Roman" w:cs="Times New Roman" w:eastAsia="Times New Roman" w:hAnsi="Times New Roman"/>
          <w:sz w:val="24"/>
          <w:szCs w:val="24"/>
          <w:rtl w:val="0"/>
        </w:rPr>
        <w:t xml:space="preserve">. Chicago, IL: University of Chicago Press, 2005.</w:t>
      </w:r>
    </w:p>
    <w:p w:rsidR="00000000" w:rsidDel="00000000" w:rsidP="00000000" w:rsidRDefault="00000000" w:rsidRPr="00000000" w14:paraId="00000171">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National Training Center (NTC). “National Training Center, Fort Irwin” (2015). </w:t>
      </w:r>
      <w:hyperlink r:id="rId15">
        <w:r w:rsidDel="00000000" w:rsidR="00000000" w:rsidRPr="00000000">
          <w:rPr>
            <w:rFonts w:ascii="Times New Roman" w:cs="Times New Roman" w:eastAsia="Times New Roman" w:hAnsi="Times New Roman"/>
            <w:sz w:val="24"/>
            <w:szCs w:val="24"/>
            <w:rtl w:val="0"/>
          </w:rPr>
          <w:t xml:space="preserve">http://www.irwin.army.mil/Pages/Units/NTC/NTC.html</w:t>
        </w:r>
      </w:hyperlink>
      <w:r w:rsidDel="00000000" w:rsidR="00000000" w:rsidRPr="00000000">
        <w:rPr>
          <w:rFonts w:ascii="Times New Roman" w:cs="Times New Roman" w:eastAsia="Times New Roman" w:hAnsi="Times New Roman"/>
          <w:sz w:val="24"/>
          <w:szCs w:val="24"/>
          <w:rtl w:val="0"/>
        </w:rPr>
        <w:t xml:space="preserve"> (accessed April 14, 2015).</w:t>
      </w:r>
    </w:p>
    <w:p w:rsidR="00000000" w:rsidDel="00000000" w:rsidP="00000000" w:rsidRDefault="00000000" w:rsidRPr="00000000" w14:paraId="00000172">
      <w:pPr>
        <w:widowControl w:val="0"/>
        <w:spacing w:line="480" w:lineRule="auto"/>
        <w:ind w:left="810" w:right="11"/>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highlight w:val="white"/>
          <w:rtl w:val="0"/>
        </w:rPr>
        <w:t xml:space="preserve">Palmer, Glenn, Vito D'Orazio, Michael Kenwick, and Matthew Lane. “The MID4 Data Set: Procedures, Coding Rules, and Description.” </w:t>
      </w:r>
      <w:r w:rsidDel="00000000" w:rsidR="00000000" w:rsidRPr="00000000">
        <w:rPr>
          <w:rFonts w:ascii="Times New Roman" w:cs="Times New Roman" w:eastAsia="Times New Roman" w:hAnsi="Times New Roman"/>
          <w:i w:val="1"/>
          <w:sz w:val="24"/>
          <w:szCs w:val="24"/>
          <w:highlight w:val="white"/>
          <w:rtl w:val="0"/>
        </w:rPr>
        <w:t xml:space="preserve">Conflict Management and Peace Science</w:t>
      </w:r>
      <w:r w:rsidDel="00000000" w:rsidR="00000000" w:rsidRPr="00000000">
        <w:rPr>
          <w:rFonts w:ascii="Times New Roman" w:cs="Times New Roman" w:eastAsia="Times New Roman" w:hAnsi="Times New Roman"/>
          <w:sz w:val="24"/>
          <w:szCs w:val="24"/>
          <w:highlight w:val="white"/>
          <w:rtl w:val="0"/>
        </w:rPr>
        <w:t xml:space="preserve"> (2015): 10.1177/0738894214559680.</w:t>
      </w:r>
      <w:r w:rsidDel="00000000" w:rsidR="00000000" w:rsidRPr="00000000">
        <w:rPr>
          <w:rtl w:val="0"/>
        </w:rPr>
      </w:r>
    </w:p>
    <w:p w:rsidR="00000000" w:rsidDel="00000000" w:rsidP="00000000" w:rsidRDefault="00000000" w:rsidRPr="00000000" w14:paraId="00000173">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Peters, Ralph. “Learning to Lose.” </w:t>
      </w:r>
      <w:r w:rsidDel="00000000" w:rsidR="00000000" w:rsidRPr="00000000">
        <w:rPr>
          <w:rFonts w:ascii="Times New Roman" w:cs="Times New Roman" w:eastAsia="Times New Roman" w:hAnsi="Times New Roman"/>
          <w:i w:val="1"/>
          <w:sz w:val="24"/>
          <w:szCs w:val="24"/>
          <w:rtl w:val="0"/>
        </w:rPr>
        <w:t xml:space="preserve">American Interest</w:t>
      </w:r>
      <w:r w:rsidDel="00000000" w:rsidR="00000000" w:rsidRPr="00000000">
        <w:rPr>
          <w:rFonts w:ascii="Times New Roman" w:cs="Times New Roman" w:eastAsia="Times New Roman" w:hAnsi="Times New Roman"/>
          <w:sz w:val="24"/>
          <w:szCs w:val="24"/>
          <w:rtl w:val="0"/>
        </w:rPr>
        <w:t xml:space="preserve"> 2, no. 6 (July 2007). </w:t>
      </w:r>
      <w:hyperlink r:id="rId16">
        <w:r w:rsidDel="00000000" w:rsidR="00000000" w:rsidRPr="00000000">
          <w:rPr>
            <w:rFonts w:ascii="Times New Roman" w:cs="Times New Roman" w:eastAsia="Times New Roman" w:hAnsi="Times New Roman"/>
            <w:sz w:val="24"/>
            <w:szCs w:val="24"/>
            <w:rtl w:val="0"/>
          </w:rPr>
          <w:t xml:space="preserve">http://www.the-american-interest.com/2007/07/01/learning-to-lose/</w:t>
        </w:r>
      </w:hyperlink>
      <w:r w:rsidDel="00000000" w:rsidR="00000000" w:rsidRPr="00000000">
        <w:rPr>
          <w:rFonts w:ascii="Times New Roman" w:cs="Times New Roman" w:eastAsia="Times New Roman" w:hAnsi="Times New Roman"/>
          <w:sz w:val="24"/>
          <w:szCs w:val="24"/>
          <w:rtl w:val="0"/>
        </w:rPr>
        <w:t xml:space="preserve"> (accessed March 18, 2015).</w:t>
      </w:r>
    </w:p>
    <w:p w:rsidR="00000000" w:rsidDel="00000000" w:rsidP="00000000" w:rsidRDefault="00000000" w:rsidRPr="00000000" w14:paraId="00000174">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Pilster, Ulrich, and Tobias Böhmelt. “Coup-proofing and Military Effectiveness in Interstate Wars, 1967–99.” </w:t>
      </w:r>
      <w:r w:rsidDel="00000000" w:rsidR="00000000" w:rsidRPr="00000000">
        <w:rPr>
          <w:rFonts w:ascii="Times New Roman" w:cs="Times New Roman" w:eastAsia="Times New Roman" w:hAnsi="Times New Roman"/>
          <w:i w:val="1"/>
          <w:sz w:val="24"/>
          <w:szCs w:val="24"/>
          <w:highlight w:val="white"/>
          <w:rtl w:val="0"/>
        </w:rPr>
        <w:t xml:space="preserve">Conflict Management and Peace Science</w:t>
      </w:r>
      <w:r w:rsidDel="00000000" w:rsidR="00000000" w:rsidRPr="00000000">
        <w:rPr>
          <w:rFonts w:ascii="Times New Roman" w:cs="Times New Roman" w:eastAsia="Times New Roman" w:hAnsi="Times New Roman"/>
          <w:sz w:val="24"/>
          <w:szCs w:val="24"/>
          <w:highlight w:val="white"/>
          <w:rtl w:val="0"/>
        </w:rPr>
        <w:t xml:space="preserve"> 28, no. 4 (2011): 331-50.</w:t>
      </w:r>
    </w:p>
    <w:p w:rsidR="00000000" w:rsidDel="00000000" w:rsidP="00000000" w:rsidRDefault="00000000" w:rsidRPr="00000000" w14:paraId="00000175">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Pollack, Kenneth M. </w:t>
      </w:r>
      <w:r w:rsidDel="00000000" w:rsidR="00000000" w:rsidRPr="00000000">
        <w:rPr>
          <w:rFonts w:ascii="Times New Roman" w:cs="Times New Roman" w:eastAsia="Times New Roman" w:hAnsi="Times New Roman"/>
          <w:i w:val="1"/>
          <w:sz w:val="24"/>
          <w:szCs w:val="24"/>
          <w:rtl w:val="0"/>
        </w:rPr>
        <w:t xml:space="preserve">Arabs at War: Military Effectiveness, 1948–1991</w:t>
      </w:r>
      <w:r w:rsidDel="00000000" w:rsidR="00000000" w:rsidRPr="00000000">
        <w:rPr>
          <w:rFonts w:ascii="Times New Roman" w:cs="Times New Roman" w:eastAsia="Times New Roman" w:hAnsi="Times New Roman"/>
          <w:sz w:val="24"/>
          <w:szCs w:val="24"/>
          <w:rtl w:val="0"/>
        </w:rPr>
        <w:t xml:space="preserve">. Lincoln, NE: University of Nebraska Press, 2002.</w:t>
      </w:r>
    </w:p>
    <w:p w:rsidR="00000000" w:rsidDel="00000000" w:rsidP="00000000" w:rsidRDefault="00000000" w:rsidRPr="00000000" w14:paraId="00000176">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Ramsay, Kristopher W. “Settling It on the Field: Battlefield Events and War Termination.” </w:t>
      </w:r>
      <w:r w:rsidDel="00000000" w:rsidR="00000000" w:rsidRPr="00000000">
        <w:rPr>
          <w:rFonts w:ascii="Times New Roman" w:cs="Times New Roman" w:eastAsia="Times New Roman" w:hAnsi="Times New Roman"/>
          <w:i w:val="1"/>
          <w:sz w:val="24"/>
          <w:szCs w:val="24"/>
          <w:highlight w:val="white"/>
          <w:rtl w:val="0"/>
        </w:rPr>
        <w:t xml:space="preserve">Journal of Conflict Resolution</w:t>
      </w:r>
      <w:r w:rsidDel="00000000" w:rsidR="00000000" w:rsidRPr="00000000">
        <w:rPr>
          <w:rFonts w:ascii="Times New Roman" w:cs="Times New Roman" w:eastAsia="Times New Roman" w:hAnsi="Times New Roman"/>
          <w:sz w:val="24"/>
          <w:szCs w:val="24"/>
          <w:highlight w:val="white"/>
          <w:rtl w:val="0"/>
        </w:rPr>
        <w:t xml:space="preserve"> 52, no. 6 (2008): 850-79.</w:t>
      </w:r>
    </w:p>
    <w:p w:rsidR="00000000" w:rsidDel="00000000" w:rsidP="00000000" w:rsidRDefault="00000000" w:rsidRPr="00000000" w14:paraId="00000177">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Reiter, Daniel, and Allan C. Stam, III. “Democracy and Battlefield Military Effectiveness.” </w:t>
      </w:r>
      <w:r w:rsidDel="00000000" w:rsidR="00000000" w:rsidRPr="00000000">
        <w:rPr>
          <w:rFonts w:ascii="Times New Roman" w:cs="Times New Roman" w:eastAsia="Times New Roman" w:hAnsi="Times New Roman"/>
          <w:i w:val="1"/>
          <w:sz w:val="24"/>
          <w:szCs w:val="24"/>
          <w:rtl w:val="0"/>
        </w:rPr>
        <w:t xml:space="preserve">Journal of Conflict Resolution</w:t>
      </w:r>
      <w:r w:rsidDel="00000000" w:rsidR="00000000" w:rsidRPr="00000000">
        <w:rPr>
          <w:rFonts w:ascii="Times New Roman" w:cs="Times New Roman" w:eastAsia="Times New Roman" w:hAnsi="Times New Roman"/>
          <w:sz w:val="24"/>
          <w:szCs w:val="24"/>
          <w:rtl w:val="0"/>
        </w:rPr>
        <w:t xml:space="preserve"> 42, no. 3 (1998): 259–77.</w:t>
      </w:r>
    </w:p>
    <w:p w:rsidR="00000000" w:rsidDel="00000000" w:rsidP="00000000" w:rsidRDefault="00000000" w:rsidRPr="00000000" w14:paraId="00000178">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Renshon, Jonathan, and Arthur Spirling. “Modeling ‘Effectiveness’ in International Relations.” </w:t>
      </w:r>
      <w:r w:rsidDel="00000000" w:rsidR="00000000" w:rsidRPr="00000000">
        <w:rPr>
          <w:rFonts w:ascii="Times New Roman" w:cs="Times New Roman" w:eastAsia="Times New Roman" w:hAnsi="Times New Roman"/>
          <w:i w:val="1"/>
          <w:sz w:val="24"/>
          <w:szCs w:val="24"/>
          <w:highlight w:val="white"/>
          <w:rtl w:val="0"/>
        </w:rPr>
        <w:t xml:space="preserve">Journal of Conflict Resolution</w:t>
      </w:r>
      <w:r w:rsidDel="00000000" w:rsidR="00000000" w:rsidRPr="00000000">
        <w:rPr>
          <w:rFonts w:ascii="Times New Roman" w:cs="Times New Roman" w:eastAsia="Times New Roman" w:hAnsi="Times New Roman"/>
          <w:sz w:val="24"/>
          <w:szCs w:val="24"/>
          <w:highlight w:val="white"/>
          <w:rtl w:val="0"/>
        </w:rPr>
        <w:t xml:space="preserve"> 59, no. 2 (2015): 207-38.</w:t>
      </w:r>
    </w:p>
    <w:p w:rsidR="00000000" w:rsidDel="00000000" w:rsidP="00000000" w:rsidRDefault="00000000" w:rsidRPr="00000000" w14:paraId="00000179">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Ricks, Thomas. </w:t>
      </w:r>
      <w:r w:rsidDel="00000000" w:rsidR="00000000" w:rsidRPr="00000000">
        <w:rPr>
          <w:rFonts w:ascii="Times New Roman" w:cs="Times New Roman" w:eastAsia="Times New Roman" w:hAnsi="Times New Roman"/>
          <w:i w:val="1"/>
          <w:sz w:val="24"/>
          <w:szCs w:val="24"/>
          <w:rtl w:val="0"/>
        </w:rPr>
        <w:t xml:space="preserve">The Generals: American Military Command from World War II to Today</w:t>
      </w:r>
      <w:r w:rsidDel="00000000" w:rsidR="00000000" w:rsidRPr="00000000">
        <w:rPr>
          <w:rFonts w:ascii="Times New Roman" w:cs="Times New Roman" w:eastAsia="Times New Roman" w:hAnsi="Times New Roman"/>
          <w:sz w:val="24"/>
          <w:szCs w:val="24"/>
          <w:rtl w:val="0"/>
        </w:rPr>
        <w:t xml:space="preserve">. New York, NY: Penguin, 2013.</w:t>
      </w:r>
    </w:p>
    <w:p w:rsidR="00000000" w:rsidDel="00000000" w:rsidP="00000000" w:rsidRDefault="00000000" w:rsidRPr="00000000" w14:paraId="0000017A">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Sarkees, Meredith Reid, and Frank Wayman. </w:t>
      </w:r>
      <w:r w:rsidDel="00000000" w:rsidR="00000000" w:rsidRPr="00000000">
        <w:rPr>
          <w:rFonts w:ascii="Times New Roman" w:cs="Times New Roman" w:eastAsia="Times New Roman" w:hAnsi="Times New Roman"/>
          <w:i w:val="1"/>
          <w:sz w:val="24"/>
          <w:szCs w:val="24"/>
          <w:rtl w:val="0"/>
        </w:rPr>
        <w:t xml:space="preserve">Resort to War: 1816-2007</w:t>
      </w:r>
      <w:r w:rsidDel="00000000" w:rsidR="00000000" w:rsidRPr="00000000">
        <w:rPr>
          <w:rFonts w:ascii="Times New Roman" w:cs="Times New Roman" w:eastAsia="Times New Roman" w:hAnsi="Times New Roman"/>
          <w:sz w:val="24"/>
          <w:szCs w:val="24"/>
          <w:rtl w:val="0"/>
        </w:rPr>
        <w:t xml:space="preserve">. Washington DC: CQ Press, 2010.</w:t>
      </w:r>
    </w:p>
    <w:p w:rsidR="00000000" w:rsidDel="00000000" w:rsidP="00000000" w:rsidRDefault="00000000" w:rsidRPr="00000000" w14:paraId="0000017B">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Schifferle, Peter. </w:t>
      </w:r>
      <w:r w:rsidDel="00000000" w:rsidR="00000000" w:rsidRPr="00000000">
        <w:rPr>
          <w:rFonts w:ascii="Times New Roman" w:cs="Times New Roman" w:eastAsia="Times New Roman" w:hAnsi="Times New Roman"/>
          <w:i w:val="1"/>
          <w:sz w:val="24"/>
          <w:szCs w:val="24"/>
          <w:rtl w:val="0"/>
        </w:rPr>
        <w:t xml:space="preserve">America’s School for War: Fort Leavenworth, Officer Education, and Victory in World War II</w:t>
      </w:r>
      <w:r w:rsidDel="00000000" w:rsidR="00000000" w:rsidRPr="00000000">
        <w:rPr>
          <w:rFonts w:ascii="Times New Roman" w:cs="Times New Roman" w:eastAsia="Times New Roman" w:hAnsi="Times New Roman"/>
          <w:sz w:val="24"/>
          <w:szCs w:val="24"/>
          <w:rtl w:val="0"/>
        </w:rPr>
        <w:t xml:space="preserve">. Lawrence, KS: University Press of Kansas, 2010.</w:t>
      </w:r>
    </w:p>
    <w:p w:rsidR="00000000" w:rsidDel="00000000" w:rsidP="00000000" w:rsidRDefault="00000000" w:rsidRPr="00000000" w14:paraId="0000017C">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Talmadge, Caitlin. </w:t>
      </w:r>
      <w:r w:rsidDel="00000000" w:rsidR="00000000" w:rsidRPr="00000000">
        <w:rPr>
          <w:rFonts w:ascii="Times New Roman" w:cs="Times New Roman" w:eastAsia="Times New Roman" w:hAnsi="Times New Roman"/>
          <w:i w:val="1"/>
          <w:sz w:val="24"/>
          <w:szCs w:val="24"/>
          <w:rtl w:val="0"/>
        </w:rPr>
        <w:t xml:space="preserve">The Dictator’s Army: Battlefield Effectiveness in Authoritarian Regimes</w:t>
      </w:r>
      <w:r w:rsidDel="00000000" w:rsidR="00000000" w:rsidRPr="00000000">
        <w:rPr>
          <w:rFonts w:ascii="Times New Roman" w:cs="Times New Roman" w:eastAsia="Times New Roman" w:hAnsi="Times New Roman"/>
          <w:sz w:val="24"/>
          <w:szCs w:val="24"/>
          <w:rtl w:val="0"/>
        </w:rPr>
        <w:t xml:space="preserve">. Ithaca, NY: Cornell University Press, 2015.</w:t>
      </w:r>
    </w:p>
    <w:p w:rsidR="00000000" w:rsidDel="00000000" w:rsidP="00000000" w:rsidRDefault="00000000" w:rsidRPr="00000000" w14:paraId="0000017D">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Tomz, Michael, Jason Wittenberg, and Gary King. “CLARIFY: Software for Interpreting and Presenting Statistical Results,” version 2.1. Stanford University, University of Wisconsin, and Harvard University (January 5, 2003). http://gking.harvard.edu (accessed September 15, 2016).</w:t>
      </w:r>
    </w:p>
    <w:p w:rsidR="00000000" w:rsidDel="00000000" w:rsidP="00000000" w:rsidRDefault="00000000" w:rsidRPr="00000000" w14:paraId="0000017E">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Toronto, Nathan W. “Training Is Not Enough: Economic Development and Military Professionalism in Turkey.” </w:t>
      </w:r>
      <w:r w:rsidDel="00000000" w:rsidR="00000000" w:rsidRPr="00000000">
        <w:rPr>
          <w:rFonts w:ascii="Times New Roman" w:cs="Times New Roman" w:eastAsia="Times New Roman" w:hAnsi="Times New Roman"/>
          <w:i w:val="1"/>
          <w:sz w:val="24"/>
          <w:szCs w:val="24"/>
          <w:rtl w:val="0"/>
        </w:rPr>
        <w:t xml:space="preserve">St. Antony’s International Review</w:t>
      </w:r>
      <w:r w:rsidDel="00000000" w:rsidR="00000000" w:rsidRPr="00000000">
        <w:rPr>
          <w:rFonts w:ascii="Times New Roman" w:cs="Times New Roman" w:eastAsia="Times New Roman" w:hAnsi="Times New Roman"/>
          <w:sz w:val="24"/>
          <w:szCs w:val="24"/>
          <w:rtl w:val="0"/>
        </w:rPr>
        <w:t xml:space="preserve"> 7, no. 1 (2011a): 119–43.</w:t>
      </w:r>
    </w:p>
    <w:p w:rsidR="00000000" w:rsidDel="00000000" w:rsidP="00000000" w:rsidRDefault="00000000" w:rsidRPr="00000000" w14:paraId="0000017F">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“Active Inaction: Interagency Security Assistance to Egypt.” </w:t>
      </w:r>
      <w:r w:rsidDel="00000000" w:rsidR="00000000" w:rsidRPr="00000000">
        <w:rPr>
          <w:rFonts w:ascii="Times New Roman" w:cs="Times New Roman" w:eastAsia="Times New Roman" w:hAnsi="Times New Roman"/>
          <w:i w:val="1"/>
          <w:sz w:val="24"/>
          <w:szCs w:val="24"/>
          <w:rtl w:val="0"/>
        </w:rPr>
        <w:t xml:space="preserve">Interagency Paper</w:t>
      </w:r>
      <w:r w:rsidDel="00000000" w:rsidR="00000000" w:rsidRPr="00000000">
        <w:rPr>
          <w:rFonts w:ascii="Times New Roman" w:cs="Times New Roman" w:eastAsia="Times New Roman" w:hAnsi="Times New Roman"/>
          <w:sz w:val="24"/>
          <w:szCs w:val="24"/>
          <w:rtl w:val="0"/>
        </w:rPr>
        <w:t xml:space="preserve">, no. 6, Col. Arthur D. Simons Center for the Study of Interagency Cooperation (December 2011b).</w:t>
      </w:r>
    </w:p>
    <w:p w:rsidR="00000000" w:rsidDel="00000000" w:rsidP="00000000" w:rsidRDefault="00000000" w:rsidRPr="00000000" w14:paraId="00000180">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“Why Professionalize? Economic Modernization, Security, and Military Professionalism.” </w:t>
      </w:r>
      <w:r w:rsidDel="00000000" w:rsidR="00000000" w:rsidRPr="00000000">
        <w:rPr>
          <w:rFonts w:ascii="Times New Roman" w:cs="Times New Roman" w:eastAsia="Times New Roman" w:hAnsi="Times New Roman"/>
          <w:i w:val="1"/>
          <w:sz w:val="24"/>
          <w:szCs w:val="24"/>
          <w:rtl w:val="0"/>
        </w:rPr>
        <w:t xml:space="preserve">Foreign Policy Analysis</w:t>
      </w:r>
      <w:r w:rsidDel="00000000" w:rsidR="00000000" w:rsidRPr="00000000">
        <w:rPr>
          <w:rFonts w:ascii="Times New Roman" w:cs="Times New Roman" w:eastAsia="Times New Roman" w:hAnsi="Times New Roman"/>
          <w:sz w:val="24"/>
          <w:szCs w:val="24"/>
          <w:rtl w:val="0"/>
        </w:rPr>
        <w:t xml:space="preserve"> (2015): 10.1111/fpa.12093.</w:t>
      </w:r>
    </w:p>
    <w:p w:rsidR="00000000" w:rsidDel="00000000" w:rsidP="00000000" w:rsidRDefault="00000000" w:rsidRPr="00000000" w14:paraId="00000181">
      <w:pPr>
        <w:spacing w:line="480" w:lineRule="auto"/>
        <w:ind w:left="810"/>
        <w:contextualSpacing w:val="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Trinquier, Roger. </w:t>
      </w:r>
      <w:r w:rsidDel="00000000" w:rsidR="00000000" w:rsidRPr="00000000">
        <w:rPr>
          <w:rFonts w:ascii="Times New Roman" w:cs="Times New Roman" w:eastAsia="Times New Roman" w:hAnsi="Times New Roman"/>
          <w:i w:val="1"/>
          <w:sz w:val="24"/>
          <w:szCs w:val="24"/>
          <w:highlight w:val="white"/>
          <w:rtl w:val="0"/>
        </w:rPr>
        <w:t xml:space="preserve">Modern Warfare: A French View of Counterinsurgency</w:t>
      </w:r>
      <w:r w:rsidDel="00000000" w:rsidR="00000000" w:rsidRPr="00000000">
        <w:rPr>
          <w:rFonts w:ascii="Times New Roman" w:cs="Times New Roman" w:eastAsia="Times New Roman" w:hAnsi="Times New Roman"/>
          <w:sz w:val="24"/>
          <w:szCs w:val="24"/>
          <w:highlight w:val="white"/>
          <w:rtl w:val="0"/>
        </w:rPr>
        <w:t xml:space="preserve">. New York, NY: Greenwood Publishing Group, 2006[1961].</w:t>
      </w:r>
    </w:p>
    <w:p w:rsidR="00000000" w:rsidDel="00000000" w:rsidP="00000000" w:rsidRDefault="00000000" w:rsidRPr="00000000" w14:paraId="00000182">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UK Ministry of Defence (MoD). </w:t>
      </w:r>
      <w:r w:rsidDel="00000000" w:rsidR="00000000" w:rsidRPr="00000000">
        <w:rPr>
          <w:rFonts w:ascii="Times New Roman" w:cs="Times New Roman" w:eastAsia="Times New Roman" w:hAnsi="Times New Roman"/>
          <w:i w:val="1"/>
          <w:sz w:val="24"/>
          <w:szCs w:val="24"/>
          <w:rtl w:val="0"/>
        </w:rPr>
        <w:t xml:space="preserve">Securing Britain in an Age of Uncertainty: The Strategic Defence and Security Review</w:t>
      </w:r>
      <w:r w:rsidDel="00000000" w:rsidR="00000000" w:rsidRPr="00000000">
        <w:rPr>
          <w:rFonts w:ascii="Times New Roman" w:cs="Times New Roman" w:eastAsia="Times New Roman" w:hAnsi="Times New Roman"/>
          <w:sz w:val="24"/>
          <w:szCs w:val="24"/>
          <w:rtl w:val="0"/>
        </w:rPr>
        <w:t xml:space="preserve"> (October 2010). London: UK Ministry of Defence.</w:t>
      </w:r>
    </w:p>
    <w:p w:rsidR="00000000" w:rsidDel="00000000" w:rsidP="00000000" w:rsidRDefault="00000000" w:rsidRPr="00000000" w14:paraId="00000183">
      <w:pPr>
        <w:spacing w:line="480" w:lineRule="auto"/>
        <w:ind w:left="81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Watson, Cynthia A. </w:t>
      </w:r>
      <w:r w:rsidDel="00000000" w:rsidR="00000000" w:rsidRPr="00000000">
        <w:rPr>
          <w:rFonts w:ascii="Times New Roman" w:cs="Times New Roman" w:eastAsia="Times New Roman" w:hAnsi="Times New Roman"/>
          <w:i w:val="1"/>
          <w:sz w:val="24"/>
          <w:szCs w:val="24"/>
          <w:rtl w:val="0"/>
        </w:rPr>
        <w:t xml:space="preserve">Military Education: A Reference Handbook</w:t>
      </w:r>
      <w:r w:rsidDel="00000000" w:rsidR="00000000" w:rsidRPr="00000000">
        <w:rPr>
          <w:rFonts w:ascii="Times New Roman" w:cs="Times New Roman" w:eastAsia="Times New Roman" w:hAnsi="Times New Roman"/>
          <w:sz w:val="24"/>
          <w:szCs w:val="24"/>
          <w:rtl w:val="0"/>
        </w:rPr>
        <w:t xml:space="preserve">. New York, NY: Greenwood Publishing Group, 2007.</w:t>
      </w:r>
    </w:p>
    <w:p w:rsidR="00000000" w:rsidDel="00000000" w:rsidP="00000000" w:rsidRDefault="00000000" w:rsidRPr="00000000" w14:paraId="00000184">
      <w:pPr>
        <w:contextualSpacing w:val="0"/>
        <w:rPr/>
      </w:pPr>
      <w:r w:rsidDel="00000000" w:rsidR="00000000" w:rsidRPr="00000000">
        <w:rPr>
          <w:rtl w:val="0"/>
        </w:rPr>
      </w:r>
    </w:p>
    <w:p w:rsidR="00000000" w:rsidDel="00000000" w:rsidP="00000000" w:rsidRDefault="00000000" w:rsidRPr="00000000" w14:paraId="00000185">
      <w:pPr>
        <w:spacing w:line="480" w:lineRule="auto"/>
        <w:contextualSpacing w:val="0"/>
        <w:rPr>
          <w:rFonts w:ascii="Times New Roman" w:cs="Times New Roman" w:eastAsia="Times New Roman" w:hAnsi="Times New Roman"/>
          <w:sz w:val="24"/>
          <w:szCs w:val="24"/>
        </w:rPr>
      </w:pPr>
      <w:r w:rsidDel="00000000" w:rsidR="00000000" w:rsidRPr="00000000">
        <w:rPr>
          <w:rtl w:val="0"/>
        </w:rPr>
      </w:r>
    </w:p>
    <w:sectPr>
      <w:headerReference r:id="rId17" w:type="first"/>
      <w:footerReference r:id="rId18" w:type="default"/>
      <w:footerReference r:id="rId19" w:type="first"/>
      <w:pgSz w:h="15840" w:w="12240"/>
      <w:pgMar w:bottom="1440" w:top="144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Gungsuh"/>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6">
    <w:pPr>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8">
    <w:pPr>
      <w:contextualSpacing w:val="0"/>
      <w:jc w:val="right"/>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1">
    <w:p w:rsidR="00000000" w:rsidDel="00000000" w:rsidP="00000000" w:rsidRDefault="00000000" w:rsidRPr="00000000" w14:paraId="00000189">
      <w:pPr>
        <w:spacing w:line="240" w:lineRule="auto"/>
        <w:contextualSpacing w:val="0"/>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4"/>
          <w:szCs w:val="24"/>
          <w:rtl w:val="0"/>
        </w:rPr>
        <w:t xml:space="preserve"> Some educational institutions were called a war college prior to 1874, such as Berlin’s </w:t>
      </w:r>
      <w:r w:rsidDel="00000000" w:rsidR="00000000" w:rsidRPr="00000000">
        <w:rPr>
          <w:rFonts w:ascii="Times New Roman" w:cs="Times New Roman" w:eastAsia="Times New Roman" w:hAnsi="Times New Roman"/>
          <w:i w:val="1"/>
          <w:sz w:val="24"/>
          <w:szCs w:val="24"/>
          <w:rtl w:val="0"/>
        </w:rPr>
        <w:t xml:space="preserve">Kriegsacademie</w:t>
      </w:r>
      <w:r w:rsidDel="00000000" w:rsidR="00000000" w:rsidRPr="00000000">
        <w:rPr>
          <w:rFonts w:ascii="Times New Roman" w:cs="Times New Roman" w:eastAsia="Times New Roman" w:hAnsi="Times New Roman"/>
          <w:sz w:val="24"/>
          <w:szCs w:val="24"/>
          <w:rtl w:val="0"/>
        </w:rPr>
        <w:t xml:space="preserve">, but no schools prepared officers and civilian officials with this national strategic insight and context until 1874.</w:t>
      </w:r>
    </w:p>
  </w:footnote>
  <w:footnote w:id="2">
    <w:p w:rsidR="00000000" w:rsidDel="00000000" w:rsidP="00000000" w:rsidRDefault="00000000" w:rsidRPr="00000000" w14:paraId="0000018A">
      <w:pPr>
        <w:spacing w:line="240" w:lineRule="auto"/>
        <w:contextualSpacing w:val="0"/>
        <w:rPr>
          <w:rFonts w:ascii="Times New Roman" w:cs="Times New Roman" w:eastAsia="Times New Roman" w:hAnsi="Times New Roman"/>
          <w:sz w:val="24"/>
          <w:szCs w:val="2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4"/>
          <w:szCs w:val="24"/>
          <w:rtl w:val="0"/>
        </w:rPr>
        <w:t xml:space="preserve"> Schifferle 2010; Matheny 2011.</w:t>
      </w:r>
    </w:p>
  </w:footnote>
  <w:footnote w:id="0">
    <w:p w:rsidR="00000000" w:rsidDel="00000000" w:rsidP="00000000" w:rsidRDefault="00000000" w:rsidRPr="00000000" w14:paraId="0000018B">
      <w:pPr>
        <w:spacing w:line="240" w:lineRule="auto"/>
        <w:contextualSpacing w:val="0"/>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4"/>
          <w:szCs w:val="24"/>
          <w:rtl w:val="0"/>
        </w:rPr>
        <w:t xml:space="preserve">In cases where states no longer exist, such as the Italian and German city-states that were incorporated into larger states, data collection relied on historical sources. This led to a slight underrepresentation of states that exited the system in the nineteenth century, but since the first war college, in the modern sense, was founded in 1874, this likely did not introduce too much bias into the results. Nonetheless, it is worth treating these data with some caution.</w:t>
      </w:r>
      <w:r w:rsidDel="00000000" w:rsidR="00000000" w:rsidRPr="00000000">
        <w:rPr>
          <w:rtl w:val="0"/>
        </w:rPr>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7">
    <w:pPr>
      <w:contextualSpacing w:val="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pPr/>
    <w:rPr/>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fpri.org/articles/2013/10/rethinking-professional-military-education" TargetMode="External"/><Relationship Id="rId10" Type="http://schemas.openxmlformats.org/officeDocument/2006/relationships/hyperlink" Target="http://www.globalsecurity.org/military/ops/reforger.htm" TargetMode="External"/><Relationship Id="rId13" Type="http://schemas.openxmlformats.org/officeDocument/2006/relationships/hyperlink" Target="http://foreignpolicy.com/2014/09/08/what-the-hell-is-happening-at-ndu-iii/" TargetMode="External"/><Relationship Id="rId12" Type="http://schemas.openxmlformats.org/officeDocument/2006/relationships/hyperlink" Target="http://www.airforcetimes.com/story/military/tech/2015/01/24/red-flag-training-exercise-to-begin-at-nellis-monday/22222799/"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dtic.mil/doctrine/concepts/white_papers/cjcs_wp_education.pdf" TargetMode="External"/><Relationship Id="rId15" Type="http://schemas.openxmlformats.org/officeDocument/2006/relationships/hyperlink" Target="http://www.irwin.army.mil/Pages/Units/NTC/NTC.html" TargetMode="External"/><Relationship Id="rId14" Type="http://schemas.openxmlformats.org/officeDocument/2006/relationships/hyperlink" Target="http://www.ndu.edu/Portals/59/Documents/BOV_Documents/2013/Metz--US%20PME%20on%20the%20Chopping%20Block.pdf" TargetMode="External"/><Relationship Id="rId17" Type="http://schemas.openxmlformats.org/officeDocument/2006/relationships/header" Target="header1.xml"/><Relationship Id="rId16" Type="http://schemas.openxmlformats.org/officeDocument/2006/relationships/hyperlink" Target="http://www.the-american-interest.com/2007/07/01/learning-to-lose/" TargetMode="External"/><Relationship Id="rId5" Type="http://schemas.openxmlformats.org/officeDocument/2006/relationships/numbering" Target="numbering.xml"/><Relationship Id="rId19" Type="http://schemas.openxmlformats.org/officeDocument/2006/relationships/footer" Target="footer2.xml"/><Relationship Id="rId6" Type="http://schemas.openxmlformats.org/officeDocument/2006/relationships/styles" Target="styles.xml"/><Relationship Id="rId18" Type="http://schemas.openxmlformats.org/officeDocument/2006/relationships/footer" Target="footer1.xml"/><Relationship Id="rId7" Type="http://schemas.openxmlformats.org/officeDocument/2006/relationships/hyperlink" Target="http://foreignpolicy.com/2012/06/19/the-collapse-of-ndu-a-view-from-inside/" TargetMode="External"/><Relationship Id="rId8" Type="http://schemas.openxmlformats.org/officeDocument/2006/relationships/hyperlink" Target="http://www.warriorlodge.com/blogs/news/16298760-a-french-soldiers-view-of-us-soldiers-in-afghanista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